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jc w:val="left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Zapytanie ofertowe </w:t>
      </w:r>
    </w:p>
    <w:p>
      <w:pPr>
        <w:pStyle w:val="Standard"/>
        <w:spacing w:lineRule="auto" w:line="276"/>
        <w:jc w:val="left"/>
        <w:rPr>
          <w:rFonts w:eastAsia="Arial" w:cs="Arial"/>
          <w:b/>
        </w:rPr>
      </w:pPr>
      <w:r>
        <w:rPr>
          <w:rFonts w:eastAsia="Arial" w:cs="Arial"/>
          <w:b/>
        </w:rPr>
      </w:r>
    </w:p>
    <w:p>
      <w:pPr>
        <w:pStyle w:val="Standard"/>
        <w:spacing w:lineRule="auto" w:line="276"/>
        <w:jc w:val="left"/>
        <w:rPr>
          <w:rFonts w:ascii="Arial" w:hAnsi="Arial"/>
          <w:i w:val="false"/>
          <w:i w:val="false"/>
          <w:iCs w:val="false"/>
          <w:sz w:val="22"/>
          <w:szCs w:val="22"/>
        </w:rPr>
      </w:pPr>
      <w:r>
        <w:rPr>
          <w:rFonts w:eastAsia="Arial" w:cs="Arial" w:ascii="Arial" w:hAnsi="Arial"/>
          <w:i w:val="false"/>
          <w:iCs w:val="false"/>
          <w:sz w:val="22"/>
          <w:szCs w:val="22"/>
        </w:rPr>
        <w:t>Dostawa pomocy dydaktycznych w ramach realizowanego projektu „Mała szkoła kluczem do przyszłości” współfinansowanego ze środków Europejskiego Funduszu Społecznego Plus w Szkole Podstawowej Integracyjnej nr 8 w Sieradzu.</w:t>
      </w:r>
    </w:p>
    <w:p>
      <w:pPr>
        <w:pStyle w:val="Standard"/>
        <w:spacing w:lineRule="auto" w:line="276"/>
        <w:jc w:val="left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2"/>
        </w:numPr>
        <w:spacing w:before="0" w:after="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Postępowanie</w:t>
      </w:r>
      <w:r>
        <w:rPr>
          <w:rFonts w:eastAsia="Arial" w:cs="Arial" w:ascii="Arial" w:hAnsi="Arial"/>
          <w:b w:val="false"/>
          <w:bCs w:val="false"/>
          <w:color w:val="000000"/>
          <w:sz w:val="22"/>
          <w:szCs w:val="22"/>
          <w:u w:val="none"/>
        </w:rPr>
        <w:t xml:space="preserve"> nie jest</w:t>
      </w:r>
      <w:r>
        <w:rPr>
          <w:rFonts w:eastAsia="Arial" w:cs="Arial" w:ascii="Arial" w:hAnsi="Arial"/>
          <w:color w:val="000000"/>
          <w:sz w:val="22"/>
          <w:szCs w:val="22"/>
        </w:rPr>
        <w:t xml:space="preserve"> prowadzone w oparciu o przepisy ustawy z dnia 11 września 2019 r. Prawo zamówień publicznych.</w:t>
      </w:r>
    </w:p>
    <w:p>
      <w:pPr>
        <w:pStyle w:val="Standard"/>
        <w:spacing w:lineRule="auto" w:line="276"/>
        <w:ind w:left="720"/>
        <w:jc w:val="left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Postępowanie jest prowadzone zgodnie z zasadą konkurencyjności, zgodnie  z aktualnie obowiązującymi Wytycznymi dotyczącymi kwalifikowalności wydatków na lata 2021 – 2027.</w:t>
      </w:r>
    </w:p>
    <w:p>
      <w:pPr>
        <w:pStyle w:val="Standard"/>
        <w:spacing w:lineRule="auto" w:line="276"/>
        <w:ind w:left="720"/>
        <w:jc w:val="left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</w:r>
    </w:p>
    <w:p>
      <w:pPr>
        <w:pStyle w:val="Standard"/>
        <w:numPr>
          <w:ilvl w:val="0"/>
          <w:numId w:val="75"/>
        </w:numPr>
        <w:spacing w:lineRule="auto" w:line="276"/>
        <w:jc w:val="left"/>
        <w:rPr/>
      </w:pPr>
      <w:r>
        <w:rPr>
          <w:rStyle w:val="Hyperlink"/>
          <w:rFonts w:eastAsia="Arial" w:cs="Arial" w:ascii="Arial" w:hAnsi="Arial"/>
          <w:b/>
          <w:bCs/>
          <w:color w:val="auto"/>
          <w:sz w:val="22"/>
          <w:szCs w:val="22"/>
          <w:u w:val="none"/>
        </w:rPr>
        <w:t xml:space="preserve">Zamawiający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720"/>
        <w:jc w:val="left"/>
        <w:rPr>
          <w:rFonts w:ascii="Arial" w:hAnsi="Arial"/>
          <w:b w:val="false"/>
          <w:bCs w:val="false"/>
          <w:sz w:val="22"/>
          <w:szCs w:val="22"/>
        </w:rPr>
      </w:pPr>
      <w:r>
        <w:rPr>
          <w:rFonts w:cs="Times New Roman" w:ascii="Arial" w:hAnsi="Arial"/>
          <w:b w:val="false"/>
          <w:bCs w:val="false"/>
          <w:sz w:val="22"/>
          <w:szCs w:val="22"/>
        </w:rPr>
        <w:t>Gmina Miasto Sieradz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720"/>
        <w:jc w:val="left"/>
        <w:rPr>
          <w:rFonts w:ascii="Arial" w:hAnsi="Arial"/>
          <w:b w:val="false"/>
          <w:bCs w:val="false"/>
          <w:sz w:val="22"/>
          <w:szCs w:val="22"/>
        </w:rPr>
      </w:pPr>
      <w:r>
        <w:rPr>
          <w:rFonts w:cs="Times New Roman" w:ascii="Arial" w:hAnsi="Arial"/>
          <w:b w:val="false"/>
          <w:bCs w:val="false"/>
          <w:sz w:val="22"/>
          <w:szCs w:val="22"/>
        </w:rPr>
        <w:t xml:space="preserve">Szkoła Podstawowa Integracyjna nr 8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720"/>
        <w:jc w:val="left"/>
        <w:rPr>
          <w:rFonts w:ascii="Arial" w:hAnsi="Arial"/>
          <w:b w:val="false"/>
          <w:bCs w:val="false"/>
          <w:sz w:val="22"/>
          <w:szCs w:val="22"/>
        </w:rPr>
      </w:pPr>
      <w:r>
        <w:rPr>
          <w:rFonts w:cs="Times New Roman" w:ascii="Arial" w:hAnsi="Arial"/>
          <w:b w:val="false"/>
          <w:bCs w:val="false"/>
          <w:sz w:val="22"/>
          <w:szCs w:val="22"/>
        </w:rPr>
        <w:t>ul. Szlachecka 11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40" w:before="0" w:after="0"/>
        <w:ind w:hanging="0" w:left="737" w:right="0"/>
        <w:jc w:val="left"/>
        <w:rPr/>
      </w:pPr>
      <w:r>
        <w:rPr>
          <w:rStyle w:val="Hyperlink"/>
          <w:rFonts w:eastAsia="Arial" w:cs="Times New Roman" w:ascii="Arial" w:hAnsi="Arial"/>
          <w:b w:val="false"/>
          <w:bCs w:val="false"/>
          <w:color w:val="auto"/>
          <w:sz w:val="22"/>
          <w:szCs w:val="22"/>
          <w:u w:val="none"/>
        </w:rPr>
        <w:t>98-200 Sieradz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40" w:before="0" w:after="0"/>
        <w:ind w:hanging="0" w:left="737" w:right="0"/>
        <w:jc w:val="left"/>
        <w:rPr>
          <w:rStyle w:val="Hyperlink"/>
          <w:rFonts w:ascii="Arial" w:hAnsi="Arial" w:eastAsia="Arial" w:cs="Times New Roman"/>
          <w:b w:val="false"/>
          <w:bCs w:val="false"/>
          <w:color w:val="auto"/>
          <w:sz w:val="22"/>
          <w:szCs w:val="22"/>
          <w:u w:val="none"/>
        </w:rPr>
      </w:pPr>
      <w:r>
        <w:rPr>
          <w:rFonts w:eastAsia="Arial" w:cs="Times New Roman" w:ascii="Arial" w:hAnsi="Arial"/>
          <w:b w:val="false"/>
          <w:bCs w:val="false"/>
          <w:color w:val="auto"/>
          <w:sz w:val="22"/>
          <w:szCs w:val="22"/>
          <w:u w:val="none"/>
        </w:rPr>
      </w:r>
    </w:p>
    <w:p>
      <w:pPr>
        <w:pStyle w:val="Standard"/>
        <w:numPr>
          <w:ilvl w:val="0"/>
          <w:numId w:val="76"/>
        </w:numPr>
        <w:spacing w:lineRule="auto" w:line="276"/>
        <w:jc w:val="left"/>
        <w:rPr/>
      </w:pPr>
      <w:r>
        <w:rPr>
          <w:rStyle w:val="Hyperlink"/>
          <w:rFonts w:eastAsia="Arial" w:cs="Arial" w:ascii="Arial" w:hAnsi="Arial"/>
          <w:b/>
          <w:bCs/>
          <w:color w:val="auto"/>
          <w:sz w:val="22"/>
          <w:szCs w:val="22"/>
          <w:u w:val="none"/>
        </w:rPr>
        <w:t>Forma komunikacji</w:t>
      </w:r>
    </w:p>
    <w:p>
      <w:pPr>
        <w:pStyle w:val="Standard"/>
        <w:numPr>
          <w:ilvl w:val="0"/>
          <w:numId w:val="0"/>
        </w:numPr>
        <w:spacing w:lineRule="auto" w:line="276"/>
        <w:ind w:hanging="0" w:left="720"/>
        <w:jc w:val="left"/>
        <w:rPr/>
      </w:pPr>
      <w:r>
        <w:rPr>
          <w:rStyle w:val="Hyperlink"/>
          <w:rFonts w:eastAsia="Arial" w:cs="Arial" w:ascii="Arial" w:hAnsi="Arial"/>
          <w:color w:val="auto"/>
          <w:sz w:val="22"/>
          <w:szCs w:val="22"/>
          <w:u w:val="none"/>
        </w:rPr>
        <w:t xml:space="preserve">Komunikacja w postępowaniu o udzielenie zamówienia odbywa się za pomocą bazy konkurencyjności. </w:t>
      </w:r>
    </w:p>
    <w:p>
      <w:pPr>
        <w:pStyle w:val="Standard"/>
        <w:spacing w:lineRule="auto" w:line="276"/>
        <w:ind w:left="720"/>
        <w:jc w:val="left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</w:r>
    </w:p>
    <w:p>
      <w:pPr>
        <w:pStyle w:val="Standard"/>
        <w:numPr>
          <w:ilvl w:val="0"/>
          <w:numId w:val="77"/>
        </w:numPr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Wspólny Słownik Zamówień</w:t>
      </w:r>
      <w:r>
        <w:rPr>
          <w:rFonts w:eastAsia="Arial" w:cs="Arial" w:ascii="Arial" w:hAnsi="Arial"/>
          <w:color w:val="000000"/>
          <w:sz w:val="22"/>
          <w:szCs w:val="22"/>
        </w:rPr>
        <w:t xml:space="preserve"> (CPV) </w:t>
      </w:r>
    </w:p>
    <w:p>
      <w:pPr>
        <w:pStyle w:val="ListParagraph"/>
        <w:numPr>
          <w:ilvl w:val="1"/>
          <w:numId w:val="1"/>
        </w:numPr>
        <w:spacing w:before="0" w:after="0"/>
        <w:contextualSpacing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Dla części I zamówienia:</w:t>
      </w:r>
    </w:p>
    <w:p>
      <w:pPr>
        <w:pStyle w:val="ListParagraph"/>
        <w:numPr>
          <w:ilvl w:val="0"/>
          <w:numId w:val="0"/>
        </w:numPr>
        <w:spacing w:before="0" w:after="0"/>
        <w:ind w:hanging="0" w:left="1080"/>
        <w:contextualSpacing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39162100-6 Pomoce dydaktyczne</w:t>
      </w:r>
    </w:p>
    <w:p>
      <w:pPr>
        <w:pStyle w:val="ListParagraph"/>
        <w:numPr>
          <w:ilvl w:val="0"/>
          <w:numId w:val="0"/>
        </w:numPr>
        <w:spacing w:before="0" w:after="0"/>
        <w:ind w:hanging="0" w:left="1080"/>
        <w:contextualSpacing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37524100-8 Gry edukacyjne </w:t>
      </w:r>
    </w:p>
    <w:p>
      <w:pPr>
        <w:pStyle w:val="ListParagraph"/>
        <w:numPr>
          <w:ilvl w:val="1"/>
          <w:numId w:val="1"/>
        </w:numPr>
        <w:spacing w:before="0" w:after="0"/>
        <w:contextualSpacing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Dla części II zamówienia:</w:t>
      </w:r>
    </w:p>
    <w:p>
      <w:pPr>
        <w:pStyle w:val="BodyText"/>
        <w:numPr>
          <w:ilvl w:val="0"/>
          <w:numId w:val="0"/>
        </w:numPr>
        <w:spacing w:before="0" w:after="0"/>
        <w:ind w:hanging="0" w:left="1080"/>
        <w:contextualSpacing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30231320-6 Monitory dotykowe</w:t>
      </w:r>
    </w:p>
    <w:p>
      <w:pPr>
        <w:pStyle w:val="BodyText"/>
        <w:numPr>
          <w:ilvl w:val="0"/>
          <w:numId w:val="0"/>
        </w:numPr>
        <w:spacing w:before="0" w:after="0"/>
        <w:ind w:hanging="0" w:left="1080"/>
        <w:contextualSpacing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30236000-2 Różny sprzęt komputerowy</w:t>
      </w:r>
    </w:p>
    <w:p>
      <w:pPr>
        <w:pStyle w:val="BodyText"/>
        <w:numPr>
          <w:ilvl w:val="0"/>
          <w:numId w:val="0"/>
        </w:numPr>
        <w:spacing w:before="0" w:after="0"/>
        <w:ind w:hanging="0" w:left="1080"/>
        <w:contextualSpacing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32322000-6 Urządzenia multimedialne</w:t>
      </w:r>
    </w:p>
    <w:p>
      <w:pPr>
        <w:pStyle w:val="BodyText"/>
        <w:numPr>
          <w:ilvl w:val="0"/>
          <w:numId w:val="0"/>
        </w:numPr>
        <w:spacing w:before="0" w:after="0"/>
        <w:ind w:hanging="0" w:left="1080"/>
        <w:contextualSpacing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78"/>
        </w:numPr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Opis przedmiotu zamówienia.</w:t>
      </w:r>
    </w:p>
    <w:p>
      <w:pPr>
        <w:pStyle w:val="ListParagraph"/>
        <w:numPr>
          <w:ilvl w:val="3"/>
          <w:numId w:val="79"/>
        </w:numPr>
        <w:jc w:val="left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Przedmiotem zamówienia jest dostawa pomocy dydaktycznych, do zajęć edukacyjnych w ramach projektu „Mała szkoła kluczem do przyszłości” </w:t>
      </w:r>
      <w:r>
        <w:rPr>
          <w:rFonts w:cs="Arial" w:ascii="Arial" w:hAnsi="Arial"/>
          <w:b w:val="false"/>
          <w:bCs w:val="false"/>
          <w:sz w:val="22"/>
          <w:szCs w:val="22"/>
        </w:rPr>
        <w:t>współfinansowanego ze środków Unii Europejskiej z Europejskiego Funduszu Społecznego w Ramach Programu Regionalnego Fundusze Europejskie dla Łódzkiego 2021-2027.</w:t>
      </w:r>
      <w:r>
        <w:rPr>
          <w:rFonts w:cs="Arial" w:ascii="Arial" w:hAnsi="Arial"/>
          <w:sz w:val="22"/>
          <w:szCs w:val="22"/>
        </w:rPr>
        <w:t xml:space="preserve"> Zakup i dostawa realizowane będą na rzecz i do siedziby Szkoły Podstawowej Integracyjnej nr 8 w Sieradzu, dla której organem prowadzącym jest Gmina Miasto Sieradz.</w:t>
      </w:r>
    </w:p>
    <w:p>
      <w:pPr>
        <w:pStyle w:val="ListParagraph"/>
        <w:numPr>
          <w:ilvl w:val="3"/>
          <w:numId w:val="80"/>
        </w:numPr>
        <w:jc w:val="left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Szczegółowy opis przedmiotu zamówienia zawiera załącznik numer 1 (dla dostawy pomocy dydaktycznych) oraz załącznik nr 2 (dla sprzętu TIK)  do zapytania. </w:t>
      </w:r>
    </w:p>
    <w:p>
      <w:pPr>
        <w:pStyle w:val="ListParagraph"/>
        <w:numPr>
          <w:ilvl w:val="3"/>
          <w:numId w:val="81"/>
        </w:numPr>
        <w:jc w:val="left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Parametry techniczne i funkcjonalne przedmiotu zamówienia Zamawiający określił jako minimalne wymagania i dopuszcza, aby dostawa objęła pomoce dydaktyczne o lepszych parametrach. </w:t>
      </w:r>
    </w:p>
    <w:p>
      <w:pPr>
        <w:pStyle w:val="ListParagraph"/>
        <w:numPr>
          <w:ilvl w:val="3"/>
          <w:numId w:val="82"/>
        </w:numPr>
        <w:jc w:val="left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Oferowany przedmiot zamówienia musi być fabrycznie nowy, nienoszący śladów uszkodzeń zewnętrznych oraz uprzedniego używania. Dostawy mogą być realizowane wyłącznie w oryginalnych opakowaniach posiadających fabryczne oznakowania producenta. </w:t>
      </w:r>
    </w:p>
    <w:p>
      <w:pPr>
        <w:pStyle w:val="ListParagraph"/>
        <w:numPr>
          <w:ilvl w:val="3"/>
          <w:numId w:val="83"/>
        </w:numPr>
        <w:jc w:val="left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Pomoce dydaktyczne muszą posiadać certyfikat zgodności z Polską Normą (Deklarację Zgodności CE). Wyrób musi być oznakowany znakiem CE, zgodnie z zasadniczymi wymaganiami bezpieczeństwa obowiązującymi w krajach Unii Europejskiej. Deklaracja zgodności powinna być dostarczona wraz z dostawą. </w:t>
      </w:r>
    </w:p>
    <w:p>
      <w:pPr>
        <w:pStyle w:val="ListParagraph"/>
        <w:numPr>
          <w:ilvl w:val="3"/>
          <w:numId w:val="84"/>
        </w:numPr>
        <w:jc w:val="left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Opakowanie musi posiadać etykietę informacyjną zawierającą minimum następujące dane: nazwę i adres producenta, nazwę wyrobu, datę produkcji oraz inne oznakowania zgodnie z obowiązującymi w tym zakresie przepisami. </w:t>
      </w:r>
    </w:p>
    <w:p>
      <w:pPr>
        <w:pStyle w:val="ListParagraph"/>
        <w:numPr>
          <w:ilvl w:val="3"/>
          <w:numId w:val="85"/>
        </w:numPr>
        <w:jc w:val="left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Na opakowaniach dostarczonych pomocy dydaktycznych muszą znajdować się oznakowania i opisy w języku polskim. </w:t>
      </w:r>
    </w:p>
    <w:p>
      <w:pPr>
        <w:pStyle w:val="ListParagraph"/>
        <w:numPr>
          <w:ilvl w:val="3"/>
          <w:numId w:val="86"/>
        </w:numPr>
        <w:jc w:val="left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Dostarczone pomoce dydaktyczne muszą posiadać instrukcję użytkowania opisującą funkcje oraz sposób eksploatacji dostarczonych pomocy oraz informacje bezpieczeństwa sformułowane w języku polskim (instrukcja obsługi, instrukcja konserwacji itp.).</w:t>
      </w:r>
    </w:p>
    <w:p>
      <w:pPr>
        <w:pStyle w:val="ListParagraph"/>
        <w:numPr>
          <w:ilvl w:val="3"/>
          <w:numId w:val="87"/>
        </w:numPr>
        <w:jc w:val="left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Dostarczone pomoce dydaktyczne muszą być wykonane z tworzyw wysokiej jakości, a zawarte w nich substancje chemiczne nie mogą stanowić zagrożenia dla bezpieczeństwa i zdrowia dzieci. </w:t>
      </w:r>
    </w:p>
    <w:p>
      <w:pPr>
        <w:pStyle w:val="ListParagraph"/>
        <w:numPr>
          <w:ilvl w:val="0"/>
          <w:numId w:val="0"/>
        </w:numPr>
        <w:ind w:hanging="0" w:left="502"/>
        <w:jc w:val="left"/>
        <w:rPr>
          <w:rFonts w:cs="Arial"/>
          <w:color w:val="000000"/>
          <w:lang w:eastAsia="pl-PL"/>
        </w:rPr>
      </w:pPr>
      <w:r>
        <w:rPr>
          <w:rFonts w:cs="Arial"/>
          <w:color w:val="000000"/>
          <w:lang w:eastAsia="pl-PL"/>
        </w:rPr>
      </w:r>
    </w:p>
    <w:p>
      <w:pPr>
        <w:pStyle w:val="Default"/>
        <w:numPr>
          <w:ilvl w:val="0"/>
          <w:numId w:val="88"/>
        </w:numPr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b/>
          <w:bCs/>
          <w:sz w:val="22"/>
          <w:szCs w:val="22"/>
        </w:rPr>
        <w:t>Termin realizacji zamówienia:</w:t>
      </w:r>
      <w:r>
        <w:rPr>
          <w:sz w:val="22"/>
          <w:szCs w:val="22"/>
        </w:rPr>
        <w:t xml:space="preserve"> </w:t>
      </w:r>
    </w:p>
    <w:p>
      <w:pPr>
        <w:pStyle w:val="Default"/>
        <w:numPr>
          <w:ilvl w:val="0"/>
          <w:numId w:val="0"/>
        </w:numPr>
        <w:spacing w:lineRule="auto" w:line="276"/>
        <w:ind w:hanging="0" w:left="720"/>
        <w:jc w:val="left"/>
        <w:rPr>
          <w:color w:val="auto"/>
        </w:rPr>
      </w:pPr>
      <w:r>
        <w:rPr>
          <w:color w:val="auto"/>
          <w:sz w:val="22"/>
          <w:szCs w:val="22"/>
        </w:rPr>
        <w:t>dla części I – do 30 dni od podpisania umowy</w:t>
      </w:r>
    </w:p>
    <w:p>
      <w:pPr>
        <w:pStyle w:val="Default"/>
        <w:numPr>
          <w:ilvl w:val="0"/>
          <w:numId w:val="0"/>
        </w:numPr>
        <w:spacing w:lineRule="auto" w:line="276"/>
        <w:ind w:hanging="0" w:left="720"/>
        <w:jc w:val="left"/>
        <w:rPr>
          <w:rFonts w:ascii="Arial" w:hAnsi="Arial"/>
          <w:sz w:val="22"/>
          <w:szCs w:val="22"/>
        </w:rPr>
      </w:pPr>
      <w:r>
        <w:rPr>
          <w:color w:val="auto"/>
          <w:sz w:val="22"/>
          <w:szCs w:val="22"/>
        </w:rPr>
        <w:t>dla części II – do 120 dni od podpisania umowy</w:t>
      </w:r>
      <w:r>
        <w:rPr>
          <w:color w:val="C9211E"/>
          <w:sz w:val="22"/>
          <w:szCs w:val="22"/>
        </w:rPr>
        <w:t xml:space="preserve"> </w:t>
      </w:r>
    </w:p>
    <w:p>
      <w:pPr>
        <w:pStyle w:val="Default"/>
        <w:numPr>
          <w:ilvl w:val="0"/>
          <w:numId w:val="0"/>
        </w:numPr>
        <w:spacing w:lineRule="auto" w:line="276"/>
        <w:ind w:hanging="0" w:left="720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numPr>
          <w:ilvl w:val="0"/>
          <w:numId w:val="89"/>
        </w:numPr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b/>
          <w:bCs/>
          <w:sz w:val="22"/>
          <w:szCs w:val="22"/>
        </w:rPr>
        <w:t xml:space="preserve">Wymogi dotyczące oferty </w:t>
      </w:r>
    </w:p>
    <w:p>
      <w:pPr>
        <w:pStyle w:val="ListParagraph"/>
        <w:numPr>
          <w:ilvl w:val="3"/>
          <w:numId w:val="90"/>
        </w:numPr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Oferta musi zawierać „Formularz ofertowy”, zgodny ze wzorem stanowiącym załącznik nr 3 do zapytania ofertowego wraz z odpowiednim formularzem cenowym (załącznik nr 4 lub 5 do niniejszego zapytania).</w:t>
      </w:r>
    </w:p>
    <w:p>
      <w:pPr>
        <w:pStyle w:val="ListParagraph"/>
        <w:numPr>
          <w:ilvl w:val="3"/>
          <w:numId w:val="91"/>
        </w:numPr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Oferta musi być sporządzona w języku polskim. </w:t>
      </w:r>
    </w:p>
    <w:p>
      <w:pPr>
        <w:pStyle w:val="ListParagraph"/>
        <w:numPr>
          <w:ilvl w:val="3"/>
          <w:numId w:val="92"/>
        </w:numPr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Oferta musi zawierać pełną nazwę oferenta, adres siedziby, dane kontaktowe (telefon, e-mail), NIP oraz datę sporządzenia </w:t>
      </w:r>
    </w:p>
    <w:p>
      <w:pPr>
        <w:pStyle w:val="ListParagraph"/>
        <w:numPr>
          <w:ilvl w:val="3"/>
          <w:numId w:val="93"/>
        </w:numPr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Oferent jest obowiązany do wypełnienia „Formularza ofertowego” i określenia w nim cen na wszystkie koszty niezbędne do wykonania zamówienia łącznie z dostawą. Ceny oferty muszą być przedstawione w PLN jako ceny brutto (zawierać podatek VAT), zaokrąglone do dwóch miejsc po przecinku. </w:t>
      </w:r>
    </w:p>
    <w:p>
      <w:pPr>
        <w:pStyle w:val="ListParagraph"/>
        <w:numPr>
          <w:ilvl w:val="3"/>
          <w:numId w:val="94"/>
        </w:numPr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Załączniki do zapytania ofertowego muszą zawierać podpisy osób uprawnionych do reprezentacji oferenta. </w:t>
      </w:r>
    </w:p>
    <w:p>
      <w:pPr>
        <w:pStyle w:val="ListParagraph"/>
        <w:numPr>
          <w:ilvl w:val="3"/>
          <w:numId w:val="95"/>
        </w:numPr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Wprowadzenie przez Oferenta zmian uniemożliwiających ocenę zgodnie z przyjętymi kryteriami w „Formularzu ofertowym” spowoduje odrzucenie oferty. </w:t>
      </w:r>
    </w:p>
    <w:p>
      <w:pPr>
        <w:pStyle w:val="ListParagraph"/>
        <w:numPr>
          <w:ilvl w:val="3"/>
          <w:numId w:val="96"/>
        </w:numPr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Każdy z oferentów może złożyć jedną ofertę </w:t>
      </w:r>
    </w:p>
    <w:p>
      <w:pPr>
        <w:pStyle w:val="ListParagraph"/>
        <w:numPr>
          <w:ilvl w:val="3"/>
          <w:numId w:val="97"/>
        </w:numPr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Oferenci ponoszą wszelkie koszty własne związane z przygotowaniem i złożeniem oferty, niezależnie od wyników postępowania. Organizator postępowania nie odpowiada za koszty poniesione przez oferentów w związku z przygotowaniem i złożeniem oferty.</w:t>
      </w:r>
    </w:p>
    <w:p>
      <w:pPr>
        <w:pStyle w:val="ListParagraph"/>
        <w:numPr>
          <w:ilvl w:val="3"/>
          <w:numId w:val="98"/>
        </w:numPr>
        <w:jc w:val="left"/>
        <w:rPr>
          <w:rFonts w:ascii="Arial" w:hAnsi="Arial"/>
          <w:color w:val="auto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</w:rPr>
        <w:t xml:space="preserve">Oferta wraz ze stanowiącymi jej integralną część załącznikami musi być sporządzona przez Wykonawcę ściśle według postanowień niniejszego zapytania </w:t>
      </w:r>
    </w:p>
    <w:p>
      <w:pPr>
        <w:pStyle w:val="ListParagraph"/>
        <w:jc w:val="left"/>
        <w:rPr>
          <w:rFonts w:ascii="Arial" w:hAnsi="Arial"/>
          <w:color w:val="auto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</w:rPr>
      </w:r>
    </w:p>
    <w:p>
      <w:pPr>
        <w:pStyle w:val="Default"/>
        <w:numPr>
          <w:ilvl w:val="0"/>
          <w:numId w:val="99"/>
        </w:numPr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b/>
          <w:bCs/>
          <w:sz w:val="22"/>
          <w:szCs w:val="22"/>
        </w:rPr>
        <w:t xml:space="preserve">O </w:t>
      </w:r>
      <w:r>
        <w:rPr>
          <w:rFonts w:eastAsia="Arial"/>
          <w:b/>
          <w:bCs/>
          <w:sz w:val="22"/>
          <w:szCs w:val="22"/>
        </w:rPr>
        <w:t>udzielenie zamówienia mogą ubiegać się Wykonawcy</w:t>
      </w:r>
      <w:r>
        <w:rPr>
          <w:rFonts w:eastAsia="Arial"/>
          <w:sz w:val="22"/>
          <w:szCs w:val="22"/>
        </w:rPr>
        <w:t xml:space="preserve">, </w:t>
      </w:r>
      <w:r>
        <w:rPr>
          <w:rFonts w:eastAsia="Arial" w:cs="Arial"/>
          <w:color w:val="000000"/>
          <w:sz w:val="22"/>
          <w:szCs w:val="22"/>
        </w:rPr>
        <w:t>którzy spełniają następujące warunki udziału w postępowaniu:</w:t>
      </w:r>
    </w:p>
    <w:p>
      <w:pPr>
        <w:pStyle w:val="ListParagraph"/>
        <w:numPr>
          <w:ilvl w:val="3"/>
          <w:numId w:val="100"/>
        </w:numPr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Znajdują s</w:t>
      </w:r>
      <w:r>
        <w:rPr>
          <w:rFonts w:eastAsia="Arial" w:cs="Arial" w:ascii="Arial" w:hAnsi="Arial"/>
          <w:color w:val="000000"/>
          <w:sz w:val="22"/>
          <w:szCs w:val="22"/>
        </w:rPr>
        <w:t>ię w sytuacji ekonomicznej i finansowej zapewniającej wykonanie zamówienia.</w:t>
      </w:r>
    </w:p>
    <w:p>
      <w:pPr>
        <w:pStyle w:val="ListParagraph"/>
        <w:numPr>
          <w:ilvl w:val="3"/>
          <w:numId w:val="101"/>
        </w:numPr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Ni</w:t>
      </w:r>
      <w:r>
        <w:rPr>
          <w:rFonts w:eastAsia="Arial" w:cs="Arial" w:ascii="Arial" w:hAnsi="Arial"/>
          <w:color w:val="000000"/>
          <w:sz w:val="22"/>
          <w:szCs w:val="22"/>
        </w:rPr>
        <w:t xml:space="preserve">e byli prawomocnie skazani za przestępstwa przeciwko mieniu, przeciwko obrotowi gospodarczemu, przeciwko działalności instytucji państwowych oraz samorządu terytorialnego, przeciwko wiarygodności dokumentów lub za przestępstwo skarbowe. </w:t>
      </w:r>
    </w:p>
    <w:p>
      <w:pPr>
        <w:pStyle w:val="ListParagraph"/>
        <w:jc w:val="left"/>
        <w:rPr>
          <w:rFonts w:ascii="Arial" w:hAnsi="Arial"/>
          <w:color w:val="auto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</w:rPr>
      </w:r>
    </w:p>
    <w:p>
      <w:pPr>
        <w:pStyle w:val="Default"/>
        <w:numPr>
          <w:ilvl w:val="0"/>
          <w:numId w:val="102"/>
        </w:numPr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b/>
          <w:bCs/>
          <w:sz w:val="22"/>
          <w:szCs w:val="22"/>
        </w:rPr>
        <w:t xml:space="preserve">Z </w:t>
      </w:r>
      <w:r>
        <w:rPr>
          <w:rFonts w:eastAsia="Arial" w:cs="Arial"/>
          <w:b/>
          <w:bCs/>
          <w:color w:val="000000"/>
          <w:sz w:val="22"/>
          <w:szCs w:val="22"/>
        </w:rPr>
        <w:t>postępowania o zamówienie publiczne Zamawiający wyklucza:</w:t>
      </w:r>
    </w:p>
    <w:p>
      <w:pPr>
        <w:pStyle w:val="ListParagraph"/>
        <w:numPr>
          <w:ilvl w:val="0"/>
          <w:numId w:val="0"/>
        </w:numPr>
        <w:ind w:hanging="0" w:left="502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Wykonawcę podlegającemu wykluczeniu z postępowania na podstawie art. 7 ust. 1 w związku z art. 7 ust. 9 ustawy z dnia 13 kwietnia 2022 r. o szczególnych rozwiązaniach w zakresie przeciwdziałania wspieraniu agresji na Ukrainę oraz służących ochronie bezpieczeństwa narodowego (Dz.U.2022 poz.835). </w:t>
      </w:r>
    </w:p>
    <w:p>
      <w:pPr>
        <w:pStyle w:val="ListParagraph"/>
        <w:numPr>
          <w:ilvl w:val="0"/>
          <w:numId w:val="0"/>
        </w:numPr>
        <w:ind w:hanging="0" w:left="502"/>
        <w:jc w:val="left"/>
        <w:rPr>
          <w:b/>
          <w:bCs/>
        </w:rPr>
      </w:pPr>
      <w:r>
        <w:rPr>
          <w:b/>
          <w:bCs/>
        </w:rPr>
      </w:r>
    </w:p>
    <w:p>
      <w:pPr>
        <w:pStyle w:val="Standard"/>
        <w:numPr>
          <w:ilvl w:val="0"/>
          <w:numId w:val="103"/>
        </w:numPr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Informacja na temat zakazu konfliktu interesów.</w:t>
      </w:r>
    </w:p>
    <w:p>
      <w:pPr>
        <w:pStyle w:val="Standard"/>
        <w:spacing w:lineRule="auto" w:line="276"/>
        <w:ind w:left="720"/>
        <w:jc w:val="left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Cs/>
          <w:color w:val="000000"/>
          <w:sz w:val="22"/>
          <w:szCs w:val="22"/>
        </w:rPr>
        <w:t>Zamawiający zapewnia wykonanie czynności związanych z przygotowaniem i prowadzeniem postępowania przez osoby zapewniające bezstronność i obiektywizm. Zamawiający podejmuje środki, aby zapobiegać konfliktom interesów na każdym etapie prowadzenia postępowania i jego realizacji w celu niedopuszczenia do zakłócenia konkurencji oraz zapewnienia równego traktowania Wykonawców.</w:t>
      </w:r>
    </w:p>
    <w:p>
      <w:pPr>
        <w:pStyle w:val="Standard"/>
        <w:spacing w:lineRule="auto" w:line="276"/>
        <w:jc w:val="left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numPr>
          <w:ilvl w:val="0"/>
          <w:numId w:val="104"/>
        </w:numPr>
        <w:suppressAutoHyphens w:val="true"/>
        <w:spacing w:lineRule="auto" w:line="276" w:before="0" w:after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kern w:val="0"/>
          <w:sz w:val="22"/>
          <w:szCs w:val="22"/>
          <w:lang w:eastAsia="zh-CN" w:bidi="hi-IN"/>
          <w14:ligatures w14:val="none"/>
        </w:rPr>
        <w:t>Sposób obliczenia ceny.</w:t>
      </w:r>
    </w:p>
    <w:p>
      <w:pPr>
        <w:pStyle w:val="Normal"/>
        <w:widowControl w:val="false"/>
        <w:numPr>
          <w:ilvl w:val="0"/>
          <w:numId w:val="3"/>
        </w:numPr>
        <w:suppressAutoHyphens w:val="true"/>
        <w:spacing w:lineRule="auto" w:line="276" w:before="0" w:after="0"/>
        <w:ind w:hanging="360" w:left="1134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 xml:space="preserve">Wykonawca zobowiązany jest podać w ofercie cenę całkowitą brutto za realizację zamówienia w całym okresie realizacji umowy </w:t>
      </w:r>
    </w:p>
    <w:p>
      <w:pPr>
        <w:pStyle w:val="Normal"/>
        <w:widowControl w:val="false"/>
        <w:numPr>
          <w:ilvl w:val="0"/>
          <w:numId w:val="3"/>
        </w:numPr>
        <w:suppressAutoHyphens w:val="true"/>
        <w:spacing w:lineRule="auto" w:line="276" w:before="0" w:after="0"/>
        <w:ind w:hanging="360" w:left="1134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Cenę ofertową należy podać w formularzu ofertowym stanowiącym załącznik nr 1 do niniejszego zapytania ofertowego, oddzielnie dla każdej części zamówienia.</w:t>
      </w:r>
    </w:p>
    <w:p>
      <w:pPr>
        <w:pStyle w:val="Normal"/>
        <w:widowControl w:val="false"/>
        <w:numPr>
          <w:ilvl w:val="0"/>
          <w:numId w:val="3"/>
        </w:numPr>
        <w:suppressAutoHyphens w:val="true"/>
        <w:spacing w:lineRule="auto" w:line="276" w:before="0" w:after="0"/>
        <w:ind w:hanging="360" w:left="1134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W cenie powinien być uwzględniony podatek od towarów i usług (VAT).</w:t>
      </w:r>
    </w:p>
    <w:p>
      <w:pPr>
        <w:pStyle w:val="Normal"/>
        <w:widowControl w:val="false"/>
        <w:numPr>
          <w:ilvl w:val="0"/>
          <w:numId w:val="3"/>
        </w:numPr>
        <w:suppressAutoHyphens w:val="true"/>
        <w:spacing w:lineRule="auto" w:line="276" w:before="0" w:after="0"/>
        <w:ind w:hanging="360" w:left="1134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Wykonawca winien przeanalizować wszelkie okoliczności, które mogą mieć wpływ na ostateczną wartość zamówienia i skalkulować cenę oferty na takim poziomie, który będzie gwarantował Zamawiającemu należyte wykonanie zamówienia i czynił przedsięwzięcie rentownym dla Wykonawcy.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spacing w:lineRule="auto" w:line="276" w:before="0" w:after="0"/>
        <w:ind w:hanging="0" w:left="1134"/>
        <w:jc w:val="left"/>
        <w:textAlignment w:val="baseline"/>
        <w:rPr>
          <w:rFonts w:eastAsia="Arial" w:cs="Arial"/>
          <w:color w:val="000000"/>
          <w:kern w:val="0"/>
          <w:lang w:eastAsia="zh-CN" w:bidi="hi-IN"/>
          <w14:ligatures w14:val="none"/>
        </w:rPr>
      </w:pPr>
      <w:r>
        <w:rPr>
          <w:rFonts w:eastAsia="Arial" w:cs="Arial"/>
          <w:color w:val="000000"/>
          <w:kern w:val="0"/>
          <w:lang w:eastAsia="zh-CN" w:bidi="hi-IN"/>
          <w14:ligatures w14:val="none"/>
        </w:rPr>
      </w:r>
    </w:p>
    <w:p>
      <w:pPr>
        <w:pStyle w:val="Normal"/>
        <w:widowControl w:val="false"/>
        <w:numPr>
          <w:ilvl w:val="0"/>
          <w:numId w:val="105"/>
        </w:numPr>
        <w:suppressAutoHyphens w:val="true"/>
        <w:spacing w:lineRule="auto" w:line="276" w:before="0" w:after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kern w:val="0"/>
          <w:sz w:val="22"/>
          <w:szCs w:val="22"/>
          <w:lang w:eastAsia="zh-CN" w:bidi="hi-IN"/>
          <w14:ligatures w14:val="none"/>
        </w:rPr>
        <w:t>Kryteria oceny ofert, informacja o wagach punktowych lub procentowych przypisanych do poszczególnych kryteriów oceny ofert oraz opis sposobu przyznawania punktacji za spełnienia danego kryterium oceny ofert.</w:t>
      </w:r>
    </w:p>
    <w:p>
      <w:pPr>
        <w:pStyle w:val="Normal"/>
        <w:widowControl w:val="false"/>
        <w:numPr>
          <w:ilvl w:val="0"/>
          <w:numId w:val="106"/>
        </w:numPr>
        <w:suppressAutoHyphens w:val="true"/>
        <w:spacing w:lineRule="auto" w:line="276" w:before="0" w:after="0"/>
        <w:ind w:hanging="360" w:left="1134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Przy wyborze najkorzystniejszej oferty Zamawiający będzie się kierował następującym kryterium oceny ofert – cena o wadze 100 pkt (oferowaną cenę Wykonawca poda w formularzu ofertowym)</w:t>
      </w:r>
    </w:p>
    <w:p>
      <w:pPr>
        <w:pStyle w:val="Normal"/>
        <w:numPr>
          <w:ilvl w:val="0"/>
          <w:numId w:val="107"/>
        </w:numPr>
        <w:suppressAutoHyphens w:val="true"/>
        <w:spacing w:lineRule="auto" w:line="276" w:before="0" w:after="0"/>
        <w:ind w:hanging="360" w:left="1134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Każda oferta będzie oceniana w skali 100 pkt oddzielnie dla każdej części zamówienia.</w:t>
      </w:r>
    </w:p>
    <w:p>
      <w:pPr>
        <w:pStyle w:val="Normal"/>
        <w:numPr>
          <w:ilvl w:val="0"/>
          <w:numId w:val="108"/>
        </w:numPr>
        <w:suppressAutoHyphens w:val="true"/>
        <w:spacing w:lineRule="auto" w:line="276" w:before="0" w:after="0"/>
        <w:ind w:hanging="360" w:left="1134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Liczba punktów w kryterium cena będzie obliczona na podstawie następującego wzoru:</w:t>
      </w:r>
    </w:p>
    <w:p>
      <w:pPr>
        <w:pStyle w:val="Normal"/>
        <w:suppressAutoHyphens w:val="true"/>
        <w:spacing w:lineRule="auto" w:line="276" w:before="171" w:after="171"/>
        <w:ind w:left="720"/>
        <w:jc w:val="left"/>
        <w:textAlignment w:val="baseline"/>
        <w:rPr>
          <w:rFonts w:ascii="Arial" w:hAnsi="Arial"/>
          <w:sz w:val="22"/>
          <w:szCs w:val="22"/>
        </w:rPr>
      </w:pPr>
      <w:r>
        <w:rPr/>
      </w:r>
      <m:oMathPara xmlns:m="http://schemas.openxmlformats.org/officeDocument/2006/math">
        <m:oMathParaPr>
          <m:jc m:val="left"/>
        </m:oMathParaPr>
        <m:oMath>
          <m:r>
            <w:rPr>
              <w:rFonts w:ascii="Cambria Math" w:hAnsi="Cambria Math"/>
            </w:rPr>
            <m:t xml:space="preserve">C</m:t>
          </m:r>
          <m:r>
            <w:rPr>
              <w:rFonts w:ascii="Cambria Math" w:hAnsi="Cambria Math"/>
            </w:rPr>
            <m:t xml:space="preserve">=</m:t>
          </m:r>
          <m:f>
            <m:num>
              <m:r>
                <w:rPr>
                  <w:rFonts w:ascii="Cambria Math" w:hAnsi="Cambria Math"/>
                </w:rPr>
                <m:t xml:space="preserve">najniższa</m:t>
              </m:r>
              <m:r>
                <w:rPr>
                  <w:rFonts w:ascii="Cambria Math" w:hAnsi="Cambria Math"/>
                </w:rPr>
                <m:t xml:space="preserve">zaoferowana</m:t>
              </m:r>
              <m:r>
                <w:rPr>
                  <w:rFonts w:ascii="Cambria Math" w:hAnsi="Cambria Math"/>
                </w:rPr>
                <m:t xml:space="preserve">cena</m:t>
              </m:r>
            </m:num>
            <m:den>
              <m:r>
                <w:rPr>
                  <w:rFonts w:ascii="Cambria Math" w:hAnsi="Cambria Math"/>
                </w:rPr>
                <m:t xml:space="preserve">cena</m:t>
              </m:r>
              <m:r>
                <w:rPr>
                  <w:rFonts w:ascii="Cambria Math" w:hAnsi="Cambria Math"/>
                </w:rPr>
                <m:t xml:space="preserve">oferty</m:t>
              </m:r>
              <m:r>
                <w:rPr>
                  <w:rFonts w:ascii="Cambria Math" w:hAnsi="Cambria Math"/>
                </w:rPr>
                <m:t xml:space="preserve">badanej</m:t>
              </m:r>
            </m:den>
          </m:f>
          <m:r>
            <w:rPr>
              <w:rFonts w:ascii="Cambria Math" w:hAnsi="Cambria Math"/>
            </w:rPr>
            <m:t xml:space="preserve">x</m:t>
          </m:r>
          <m:r>
            <w:rPr>
              <w:rFonts w:ascii="Cambria Math" w:hAnsi="Cambria Math"/>
            </w:rPr>
            <m:t xml:space="preserve">100</m:t>
          </m:r>
          <m:r>
            <w:rPr>
              <w:rFonts w:ascii="Cambria Math" w:hAnsi="Cambria Math"/>
            </w:rPr>
            <m:t xml:space="preserve">pkt</m:t>
          </m:r>
        </m:oMath>
      </m:oMathPara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hanging="0" w:left="113" w:right="0"/>
        <w:jc w:val="left"/>
        <w:textAlignment w:val="baseline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b/>
          <w:bCs/>
          <w:kern w:val="0"/>
          <w:sz w:val="20"/>
          <w:szCs w:val="20"/>
          <w:lang w:eastAsia="zh-CN" w:bidi="hi-IN"/>
          <w14:ligatures w14:val="none"/>
        </w:rPr>
        <w:t>*</w:t>
      </w:r>
      <w:r>
        <w:rPr>
          <w:rFonts w:eastAsia="Arial" w:cs="Arial" w:ascii="Arial" w:hAnsi="Arial"/>
          <w:b w:val="false"/>
          <w:bCs w:val="false"/>
          <w:kern w:val="0"/>
          <w:sz w:val="20"/>
          <w:szCs w:val="20"/>
          <w:lang w:eastAsia="zh-CN" w:bidi="hi-IN"/>
          <w14:ligatures w14:val="none"/>
        </w:rPr>
        <w:t xml:space="preserve"> najniższa zaoferowana cena spośród wszystkich złożonych ofert niepodlegających odrzuceniu</w:t>
      </w:r>
    </w:p>
    <w:p>
      <w:pPr>
        <w:pStyle w:val="Normal"/>
        <w:widowControl w:val="false"/>
        <w:suppressAutoHyphens w:val="true"/>
        <w:spacing w:lineRule="auto" w:line="276" w:before="0" w:after="0"/>
        <w:ind w:firstLine="708" w:left="372"/>
        <w:jc w:val="left"/>
        <w:textAlignment w:val="baseline"/>
        <w:rPr>
          <w:rFonts w:ascii="Arial" w:hAnsi="Arial" w:eastAsia="Arial" w:cs="Arial"/>
          <w:b/>
          <w:kern w:val="0"/>
          <w:sz w:val="22"/>
          <w:szCs w:val="22"/>
          <w:shd w:fill="FFFF00" w:val="clear"/>
          <w:lang w:eastAsia="zh-CN" w:bidi="hi-IN"/>
          <w14:ligatures w14:val="none"/>
        </w:rPr>
      </w:pPr>
      <w:r>
        <w:rPr>
          <w:rFonts w:eastAsia="Arial" w:cs="Arial" w:ascii="Arial" w:hAnsi="Arial"/>
          <w:b/>
          <w:kern w:val="0"/>
          <w:sz w:val="22"/>
          <w:szCs w:val="22"/>
          <w:shd w:fill="FFFF00" w:val="clear"/>
          <w:lang w:eastAsia="zh-CN" w:bidi="hi-IN"/>
          <w14:ligatures w14:val="none"/>
        </w:rPr>
      </w:r>
    </w:p>
    <w:p>
      <w:pPr>
        <w:pStyle w:val="Normal"/>
        <w:widowControl/>
        <w:numPr>
          <w:ilvl w:val="0"/>
          <w:numId w:val="109"/>
        </w:numPr>
        <w:suppressAutoHyphens w:val="true"/>
        <w:bidi w:val="0"/>
        <w:spacing w:lineRule="auto" w:line="276" w:before="0" w:after="0"/>
        <w:ind w:hanging="340" w:left="964" w:right="0"/>
        <w:jc w:val="left"/>
        <w:textAlignment w:val="baseline"/>
        <w:rPr>
          <w:rFonts w:ascii="Arial" w:hAnsi="Arial"/>
          <w:sz w:val="22"/>
          <w:szCs w:val="22"/>
        </w:rPr>
      </w:pPr>
      <w:bookmarkStart w:id="0" w:name="_heading=h.2et92p0"/>
      <w:bookmarkEnd w:id="0"/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 xml:space="preserve">Punktacja przyznawana ofertom będzie liczona z dokładnością do dwóch miejsc po przecinku, zgodnie z zasadami arytmetyki. W przypadku, gdy pomimo różnicy w zaoferowanej cenie, oferty otrzymają w kryterium „cena” taką samą liczbę punktów, Zamawiający wyliczy punktację z dokładnością do większej liczby miejsc po przecinku.  </w:t>
      </w:r>
    </w:p>
    <w:p>
      <w:pPr>
        <w:pStyle w:val="Normal"/>
        <w:widowControl/>
        <w:numPr>
          <w:ilvl w:val="0"/>
          <w:numId w:val="110"/>
        </w:numPr>
        <w:suppressAutoHyphens w:val="true"/>
        <w:bidi w:val="0"/>
        <w:spacing w:lineRule="auto" w:line="276" w:before="0" w:after="0"/>
        <w:ind w:hanging="340" w:left="964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Zamawiający wybierze najkorzystniejszą ofertę, tj. z najwyższą liczbą punktów, spośród nieodrzuconych ofert, oddzielnie dla każdej części zamówienia.</w:t>
      </w:r>
    </w:p>
    <w:p>
      <w:pPr>
        <w:pStyle w:val="Normal"/>
        <w:widowControl/>
        <w:numPr>
          <w:ilvl w:val="0"/>
          <w:numId w:val="111"/>
        </w:numPr>
        <w:suppressAutoHyphens w:val="true"/>
        <w:bidi w:val="0"/>
        <w:spacing w:lineRule="auto" w:line="276" w:before="0" w:after="0"/>
        <w:ind w:hanging="340" w:left="964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Jeżeli najniższe oferty zostaną złożone z taką samą ceną Zamawiający wezwie Wykonawców, którzy złożyli te oferty, do złożenia ofert dodatkowych zawierających nową cenę.</w:t>
      </w:r>
    </w:p>
    <w:p>
      <w:pPr>
        <w:pStyle w:val="Normal"/>
        <w:widowControl w:val="false"/>
        <w:suppressAutoHyphens w:val="true"/>
        <w:spacing w:lineRule="auto" w:line="276" w:before="0" w:after="0"/>
        <w:ind w:left="720"/>
        <w:jc w:val="left"/>
        <w:textAlignment w:val="baseline"/>
        <w:rPr>
          <w:rFonts w:ascii="Arial" w:hAnsi="Arial" w:eastAsia="Arial" w:cs="Arial"/>
          <w:color w:val="000000"/>
          <w:kern w:val="0"/>
          <w:sz w:val="22"/>
          <w:szCs w:val="22"/>
          <w:lang w:eastAsia="zh-CN" w:bidi="hi-IN"/>
          <w14:ligatures w14:val="none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</w:r>
    </w:p>
    <w:p>
      <w:pPr>
        <w:pStyle w:val="Normal"/>
        <w:widowControl w:val="false"/>
        <w:numPr>
          <w:ilvl w:val="0"/>
          <w:numId w:val="112"/>
        </w:numPr>
        <w:suppressAutoHyphens w:val="true"/>
        <w:spacing w:lineRule="auto" w:line="276" w:before="0" w:after="0"/>
        <w:jc w:val="left"/>
        <w:textAlignment w:val="baseline"/>
        <w:rPr>
          <w:color w:val="auto"/>
        </w:rPr>
      </w:pPr>
      <w:r>
        <w:rPr>
          <w:rFonts w:eastAsia="Arial" w:cs="Arial" w:ascii="Arial" w:hAnsi="Arial"/>
          <w:b/>
          <w:color w:val="auto"/>
          <w:kern w:val="0"/>
          <w:sz w:val="22"/>
          <w:szCs w:val="22"/>
          <w:lang w:eastAsia="zh-CN" w:bidi="hi-IN"/>
          <w14:ligatures w14:val="none"/>
        </w:rPr>
        <w:t xml:space="preserve">Termin związania ofertą: </w:t>
      </w:r>
      <w:r>
        <w:rPr>
          <w:rFonts w:eastAsia="Arial" w:cs="Arial" w:ascii="Arial" w:hAnsi="Arial"/>
          <w:b w:val="false"/>
          <w:bCs w:val="false"/>
          <w:color w:val="auto"/>
          <w:kern w:val="0"/>
          <w:sz w:val="22"/>
          <w:szCs w:val="22"/>
          <w:lang w:eastAsia="zh-CN" w:bidi="hi-IN"/>
          <w14:ligatures w14:val="none"/>
        </w:rPr>
        <w:t xml:space="preserve">150 </w:t>
      </w:r>
      <w:r>
        <w:rPr>
          <w:rFonts w:eastAsia="Arial" w:cs="Arial" w:ascii="Arial" w:hAnsi="Arial"/>
          <w:bCs/>
          <w:color w:val="auto"/>
          <w:kern w:val="0"/>
          <w:sz w:val="22"/>
          <w:szCs w:val="22"/>
          <w:lang w:eastAsia="zh-CN" w:bidi="hi-IN"/>
          <w14:ligatures w14:val="none"/>
        </w:rPr>
        <w:t>dni od daty upływu składania ofert.</w:t>
      </w:r>
    </w:p>
    <w:p>
      <w:pPr>
        <w:pStyle w:val="Normal"/>
        <w:widowControl w:val="false"/>
        <w:suppressAutoHyphens w:val="true"/>
        <w:spacing w:lineRule="auto" w:line="276" w:before="0" w:after="0"/>
        <w:ind w:left="720"/>
        <w:jc w:val="left"/>
        <w:textAlignment w:val="baseline"/>
        <w:rPr>
          <w:rFonts w:ascii="Arial" w:hAnsi="Arial" w:eastAsia="Arial" w:cs="Arial"/>
          <w:color w:val="000000"/>
          <w:kern w:val="0"/>
          <w:sz w:val="22"/>
          <w:szCs w:val="22"/>
          <w:lang w:eastAsia="zh-CN" w:bidi="hi-IN"/>
          <w14:ligatures w14:val="none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</w:r>
    </w:p>
    <w:p>
      <w:pPr>
        <w:pStyle w:val="Normal"/>
        <w:widowControl w:val="false"/>
        <w:numPr>
          <w:ilvl w:val="0"/>
          <w:numId w:val="113"/>
        </w:numPr>
        <w:suppressAutoHyphens w:val="true"/>
        <w:spacing w:lineRule="auto" w:line="276" w:before="0" w:after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kern w:val="0"/>
          <w:sz w:val="22"/>
          <w:szCs w:val="22"/>
          <w:lang w:eastAsia="zh-CN" w:bidi="hi-IN"/>
          <w14:ligatures w14:val="none"/>
        </w:rPr>
        <w:t>Termin i sposób składania ofert.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spacing w:lineRule="auto" w:line="276" w:before="0" w:after="0"/>
        <w:ind w:hanging="340" w:left="567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 xml:space="preserve">Oferty należy składać przez bazę konkurencyjności. 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spacing w:lineRule="auto" w:line="276" w:before="0" w:after="0"/>
        <w:ind w:hanging="340" w:left="567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Termin składania ofert upływa dnia 18</w:t>
      </w:r>
      <w:r>
        <w:rPr>
          <w:rFonts w:eastAsia="Arial" w:cs="Arial" w:ascii="Arial" w:hAnsi="Arial"/>
          <w:color w:val="auto"/>
          <w:kern w:val="0"/>
          <w:sz w:val="22"/>
          <w:szCs w:val="22"/>
          <w:lang w:eastAsia="zh-CN" w:bidi="hi-IN"/>
          <w14:ligatures w14:val="none"/>
        </w:rPr>
        <w:t>.03.2026 r.</w:t>
      </w: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 xml:space="preserve"> z końcem dnia (decyduje data wpływu do bazy konkurencyjności).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spacing w:lineRule="auto" w:line="276" w:before="0" w:after="0"/>
        <w:ind w:hanging="340" w:left="567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 xml:space="preserve">Wyniki postępowania lub informacja o jego unieważnieniu zostaną opublikowane na stronie https://bazakonkurencyjnosci.funduszeeuropejskie.go v.pl/ </w:t>
      </w:r>
    </w:p>
    <w:p>
      <w:pPr>
        <w:pStyle w:val="Normal"/>
        <w:widowControl w:val="false"/>
        <w:suppressAutoHyphens w:val="true"/>
        <w:spacing w:lineRule="auto" w:line="276" w:before="0" w:after="0"/>
        <w:jc w:val="left"/>
        <w:textAlignment w:val="baseline"/>
        <w:rPr>
          <w:rFonts w:ascii="Arial" w:hAnsi="Arial" w:eastAsia="Arial" w:cs="Arial"/>
          <w:color w:val="000000"/>
          <w:kern w:val="0"/>
          <w:sz w:val="22"/>
          <w:szCs w:val="22"/>
          <w:lang w:eastAsia="zh-CN" w:bidi="hi-IN"/>
          <w14:ligatures w14:val="none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</w:r>
    </w:p>
    <w:p>
      <w:pPr>
        <w:pStyle w:val="Normal"/>
        <w:widowControl w:val="false"/>
        <w:numPr>
          <w:ilvl w:val="0"/>
          <w:numId w:val="114"/>
        </w:numPr>
        <w:suppressAutoHyphens w:val="true"/>
        <w:bidi w:val="0"/>
        <w:spacing w:lineRule="auto" w:line="276" w:before="0" w:after="0"/>
        <w:ind w:hanging="340" w:left="624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kern w:val="0"/>
          <w:sz w:val="22"/>
          <w:szCs w:val="22"/>
          <w:lang w:eastAsia="zh-CN" w:bidi="hi-IN"/>
          <w14:ligatures w14:val="none"/>
        </w:rPr>
        <w:t>Umowa w sprawie zamówienia oraz określenie warunków istotnych zmian umowy</w:t>
      </w:r>
    </w:p>
    <w:p>
      <w:pPr>
        <w:pStyle w:val="Normal"/>
        <w:widowControl w:val="false"/>
        <w:numPr>
          <w:ilvl w:val="0"/>
          <w:numId w:val="115"/>
        </w:numPr>
        <w:suppressAutoHyphens w:val="true"/>
        <w:bidi w:val="0"/>
        <w:spacing w:lineRule="auto" w:line="276" w:before="0" w:after="0"/>
        <w:ind w:hanging="340" w:left="624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Zawiercie umowy w sprawie zamówienia następuje w formie pisemnej lub w formie elektronicznej, o których mowa w art. 78 i art. 78</w:t>
      </w:r>
      <w:r>
        <w:rPr>
          <w:rFonts w:eastAsia="Arial" w:cs="Arial" w:ascii="Arial" w:hAnsi="Arial"/>
          <w:color w:val="000000"/>
          <w:kern w:val="0"/>
          <w:sz w:val="22"/>
          <w:szCs w:val="22"/>
          <w:vertAlign w:val="superscript"/>
          <w:lang w:eastAsia="zh-CN" w:bidi="hi-IN"/>
          <w14:ligatures w14:val="none"/>
        </w:rPr>
        <w:t>1</w:t>
      </w: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 xml:space="preserve"> Kodeksu cywilnego.</w:t>
      </w:r>
    </w:p>
    <w:p>
      <w:pPr>
        <w:pStyle w:val="Normal"/>
        <w:widowControl w:val="false"/>
        <w:numPr>
          <w:ilvl w:val="0"/>
          <w:numId w:val="116"/>
        </w:numPr>
        <w:suppressAutoHyphens w:val="true"/>
        <w:bidi w:val="0"/>
        <w:spacing w:lineRule="auto" w:line="276" w:before="0" w:after="0"/>
        <w:ind w:hanging="340" w:left="624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W przypadku, gdy wybrany Wykonawca odstąpi od zawarcia umowy w sprawie zamówienia, Zamawiający może zawrzeć umowę z Wykonawcą, który w prawidłowo prowadzonym postępowaniu o udzielenie zamówienia uzyskał kolejną najwyższą liczbę punktów.</w:t>
      </w:r>
    </w:p>
    <w:p>
      <w:pPr>
        <w:pStyle w:val="Normal"/>
        <w:widowControl w:val="false"/>
        <w:suppressAutoHyphens w:val="true"/>
        <w:spacing w:lineRule="auto" w:line="276" w:before="0" w:after="0"/>
        <w:ind w:left="1080"/>
        <w:jc w:val="left"/>
        <w:textAlignment w:val="baseline"/>
        <w:rPr>
          <w:rFonts w:ascii="Arial" w:hAnsi="Arial" w:eastAsia="Arial" w:cs="Arial"/>
          <w:color w:val="000000"/>
          <w:kern w:val="0"/>
          <w:sz w:val="22"/>
          <w:szCs w:val="22"/>
          <w:lang w:eastAsia="zh-CN" w:bidi="hi-IN"/>
          <w14:ligatures w14:val="none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</w:r>
    </w:p>
    <w:p>
      <w:pPr>
        <w:pStyle w:val="Normal"/>
        <w:widowControl w:val="false"/>
        <w:numPr>
          <w:ilvl w:val="0"/>
          <w:numId w:val="117"/>
        </w:numPr>
        <w:suppressAutoHyphens w:val="true"/>
        <w:spacing w:lineRule="auto" w:line="276" w:before="0" w:after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kern w:val="0"/>
          <w:sz w:val="22"/>
          <w:szCs w:val="22"/>
          <w:lang w:eastAsia="zh-CN" w:bidi="hi-IN"/>
          <w14:ligatures w14:val="none"/>
        </w:rPr>
        <w:t xml:space="preserve">Możliwe jest składanie ofert częściowych: 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spacing w:lineRule="auto" w:line="276" w:before="0" w:after="0"/>
        <w:ind w:hanging="0" w:left="72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Tak.</w:t>
      </w:r>
      <w:r>
        <w:rPr>
          <w:rFonts w:eastAsia="Linux Libertine G" w:cs="Linux Libertine G" w:ascii="Arial" w:hAnsi="Arial"/>
          <w:kern w:val="0"/>
          <w:sz w:val="22"/>
          <w:szCs w:val="22"/>
          <w:lang w:eastAsia="zh-CN" w:bidi="hi-IN"/>
          <w14:ligatures w14:val="none"/>
        </w:rPr>
        <w:t xml:space="preserve"> </w:t>
      </w:r>
    </w:p>
    <w:p>
      <w:pPr>
        <w:pStyle w:val="Normal"/>
        <w:widowControl w:val="false"/>
        <w:suppressAutoHyphens w:val="true"/>
        <w:spacing w:lineRule="auto" w:line="276" w:before="0" w:after="0"/>
        <w:ind w:hanging="360" w:left="506"/>
        <w:jc w:val="left"/>
        <w:textAlignment w:val="baseline"/>
        <w:rPr>
          <w:rFonts w:ascii="Arial" w:hAnsi="Arial" w:eastAsia="Arial" w:cs="Arial"/>
          <w:color w:val="000000"/>
          <w:kern w:val="0"/>
          <w:sz w:val="22"/>
          <w:szCs w:val="22"/>
          <w:lang w:eastAsia="zh-CN" w:bidi="hi-IN"/>
          <w14:ligatures w14:val="none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</w:r>
    </w:p>
    <w:p>
      <w:pPr>
        <w:pStyle w:val="Normal"/>
        <w:widowControl w:val="false"/>
        <w:numPr>
          <w:ilvl w:val="0"/>
          <w:numId w:val="118"/>
        </w:numPr>
        <w:suppressAutoHyphens w:val="true"/>
        <w:spacing w:lineRule="auto" w:line="276" w:before="0" w:after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kern w:val="0"/>
          <w:sz w:val="22"/>
          <w:szCs w:val="22"/>
          <w:lang w:eastAsia="zh-CN" w:bidi="hi-IN"/>
          <w14:ligatures w14:val="none"/>
        </w:rPr>
        <w:t xml:space="preserve">Określenie aspektów społecznych, środowiskowych lub etykiet w opisie przedmiotu zamówienia i/lub związanych z realizacją zamówienia: 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spacing w:lineRule="auto" w:line="276" w:before="0" w:after="0"/>
        <w:ind w:hanging="0" w:left="72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Nie dotyczy.</w:t>
      </w:r>
    </w:p>
    <w:p>
      <w:pPr>
        <w:pStyle w:val="Normal"/>
        <w:widowControl w:val="false"/>
        <w:suppressAutoHyphens w:val="true"/>
        <w:spacing w:lineRule="auto" w:line="276" w:before="0" w:after="0"/>
        <w:ind w:hanging="360" w:left="506"/>
        <w:jc w:val="left"/>
        <w:textAlignment w:val="baseline"/>
        <w:rPr>
          <w:rFonts w:eastAsia="Arial" w:cs="Arial"/>
          <w:b/>
          <w:color w:val="000000"/>
          <w:kern w:val="0"/>
          <w:lang w:eastAsia="zh-CN" w:bidi="hi-IN"/>
          <w14:ligatures w14:val="none"/>
        </w:rPr>
      </w:pPr>
      <w:r>
        <w:rPr>
          <w:rFonts w:eastAsia="Arial" w:cs="Arial"/>
          <w:b/>
          <w:color w:val="000000"/>
          <w:kern w:val="0"/>
          <w:lang w:eastAsia="zh-CN" w:bidi="hi-IN"/>
          <w14:ligatures w14:val="none"/>
        </w:rPr>
      </w:r>
    </w:p>
    <w:p>
      <w:pPr>
        <w:pStyle w:val="Normal"/>
        <w:widowControl w:val="false"/>
        <w:numPr>
          <w:ilvl w:val="0"/>
          <w:numId w:val="119"/>
        </w:numPr>
        <w:suppressAutoHyphens w:val="true"/>
        <w:spacing w:lineRule="auto" w:line="276" w:before="0" w:after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kern w:val="0"/>
          <w:sz w:val="22"/>
          <w:szCs w:val="22"/>
          <w:lang w:eastAsia="zh-CN" w:bidi="hi-IN"/>
          <w14:ligatures w14:val="none"/>
        </w:rPr>
        <w:t>Procedura wyjaśniania i zmiany treści zapytania ofertowego.</w:t>
      </w:r>
    </w:p>
    <w:p>
      <w:pPr>
        <w:pStyle w:val="Normal"/>
        <w:widowControl w:val="false"/>
        <w:numPr>
          <w:ilvl w:val="0"/>
          <w:numId w:val="5"/>
        </w:numPr>
        <w:suppressAutoHyphens w:val="true"/>
        <w:bidi w:val="0"/>
        <w:spacing w:lineRule="auto" w:line="276" w:before="0" w:after="0"/>
        <w:ind w:hanging="340" w:left="680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Wykonawca może zwrócić się do Zamawiającego z wnioskiem o wyjaśnienie treści zapytania ofertowego. Zamawiający udzieli wyjaśnień niezwłocznie, jednak nie później niż na 2 dni przed upływem terminu składania ofert, pod warunkiem, że wniosek o wyjaśnienie treści zapytania ofertowego wpłynął do Zamawiającego nie później niż na 4 dni przed upływem terminu składania ofert. W przypadku gdy wniosek o wyjaśnienie treści zapytania ofertowego nie wpłynął w terminie, o którym mowa w zdaniu poprzednim, Zamawiający nie ma obowiązku udzielania wyjaśnień oraz obowiązku przedłużania terminu składania ofert.</w:t>
      </w:r>
    </w:p>
    <w:p>
      <w:pPr>
        <w:pStyle w:val="Normal"/>
        <w:widowControl w:val="false"/>
        <w:numPr>
          <w:ilvl w:val="0"/>
          <w:numId w:val="120"/>
        </w:numPr>
        <w:suppressAutoHyphens w:val="true"/>
        <w:bidi w:val="0"/>
        <w:spacing w:lineRule="auto" w:line="276" w:before="0" w:after="0"/>
        <w:ind w:hanging="340" w:left="680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Zapytanie ofertowe może zostać zmienione przed upływem terminu składania ofert. Zamawiający informuje w zapytaniu ofertowym o zakresie zmian. Zamawiający przedłuża termin składania ofert o czas niezbędny do wprowadzenia zmian w ofertach, jeżeli jest to konieczne z uwagi na zakres wprowadzonych zmian.</w:t>
      </w:r>
    </w:p>
    <w:p>
      <w:pPr>
        <w:pStyle w:val="Normal"/>
        <w:widowControl w:val="false"/>
        <w:numPr>
          <w:ilvl w:val="0"/>
          <w:numId w:val="121"/>
        </w:numPr>
        <w:suppressAutoHyphens w:val="true"/>
        <w:bidi w:val="0"/>
        <w:spacing w:lineRule="auto" w:line="276" w:before="0" w:after="0"/>
        <w:ind w:hanging="340" w:left="680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 xml:space="preserve">Zamawiający dopuszcza w szczególności zmianę postanowień umowy w zakresie: 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76" w:before="0" w:after="0"/>
        <w:ind w:hanging="0" w:left="680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 xml:space="preserve">a) terminu dostawy przedmiotu umowy, w przypadku: - okoliczności, których nie można było przewidzieć w dniu podpisania umowy lub podczas jej realizacji - do czasu ich ustąpienia; - siły wyższej, mającej istotny wpływ na realizację przedmiotu umowy, nie więcej jednak niż o okres działania siły wyższej, do chwili jej ustąpienia; - przyczyn leżących po stronie Zamawiającego, nie więcej jednak niż o 14 dni. 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76" w:before="0" w:after="0"/>
        <w:ind w:hanging="0" w:left="680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 xml:space="preserve">b) w przypadku wycofania z sieci dystrybucji pomocy dydaktycznych/sprzętu będącego przedmiotem umowy wskazanego w ofercie, który Dostawca zaoferował i niemożliwości dostarczenia go Zamawiającemu, Dostawca zobowiązany jest zapewnić model będący równoważnym lub wyższym od pierwotnie zaoferowanego. Przed wykonaniem dostawy, Dostawca zobowiązany jest udowodnić Zamawiającemu, że proponowany model i typ posiada wymagane parametry minimalne, a także złożyć zamawiającemu oświadczenie potwierdzające niemożliwość dostarczenia oferowanego modelu oraz wskazujące proponowany model i typ zamiast oferowanego pierwotnie modelu wraz z zapewnieniem o spełnieniu minimalnych parametrów wymaganych przez Zamawiającego, a zmiana nie może prowadzić do zwiększenia wysokości wynagrodzenia wskazanego w ofercie. 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76" w:before="0" w:after="0"/>
        <w:ind w:hanging="0" w:left="680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 xml:space="preserve">c) Powyższe zmiany wymagają sporządzenia pisemnego aneksu do umowy pod rygorem nieważności. </w:t>
      </w:r>
    </w:p>
    <w:p>
      <w:pPr>
        <w:pStyle w:val="Normal"/>
        <w:widowControl w:val="false"/>
        <w:suppressAutoHyphens w:val="true"/>
        <w:spacing w:lineRule="auto" w:line="276" w:before="0" w:after="0"/>
        <w:jc w:val="left"/>
        <w:textAlignment w:val="baseline"/>
        <w:rPr>
          <w:rFonts w:ascii="Arial" w:hAnsi="Arial" w:eastAsia="Linux Libertine G" w:cs="Arial"/>
          <w:kern w:val="0"/>
          <w:sz w:val="22"/>
          <w:szCs w:val="22"/>
          <w:lang w:eastAsia="zh-CN" w:bidi="hi-IN"/>
          <w14:ligatures w14:val="none"/>
        </w:rPr>
      </w:pPr>
      <w:r>
        <w:rPr>
          <w:rFonts w:eastAsia="Linux Libertine G" w:cs="Arial" w:ascii="Arial" w:hAnsi="Arial"/>
          <w:kern w:val="0"/>
          <w:sz w:val="22"/>
          <w:szCs w:val="22"/>
          <w:lang w:eastAsia="zh-CN" w:bidi="hi-IN"/>
          <w14:ligatures w14:val="none"/>
        </w:rPr>
      </w:r>
    </w:p>
    <w:p>
      <w:pPr>
        <w:pStyle w:val="Normal"/>
        <w:widowControl w:val="false"/>
        <w:numPr>
          <w:ilvl w:val="0"/>
          <w:numId w:val="122"/>
        </w:numPr>
        <w:suppressAutoHyphens w:val="true"/>
        <w:spacing w:lineRule="auto" w:line="276" w:before="0" w:after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kern w:val="0"/>
          <w:sz w:val="22"/>
          <w:szCs w:val="22"/>
          <w:lang w:eastAsia="zh-CN" w:bidi="hi-IN"/>
          <w14:ligatures w14:val="none"/>
        </w:rPr>
        <w:t>Informacja o wyniku postępowania.</w:t>
      </w:r>
    </w:p>
    <w:p>
      <w:pPr>
        <w:pStyle w:val="Normal"/>
        <w:widowControl w:val="false"/>
        <w:numPr>
          <w:ilvl w:val="0"/>
          <w:numId w:val="123"/>
        </w:numPr>
        <w:suppressAutoHyphens w:val="true"/>
        <w:bidi w:val="0"/>
        <w:spacing w:lineRule="auto" w:line="276" w:before="0" w:after="0"/>
        <w:ind w:hanging="340" w:left="737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Informację o wyniku postępowania Zamawiający ogłasza w bazie konkurencyjności</w:t>
      </w:r>
    </w:p>
    <w:p>
      <w:pPr>
        <w:pStyle w:val="Normal"/>
        <w:widowControl w:val="false"/>
        <w:numPr>
          <w:ilvl w:val="0"/>
          <w:numId w:val="124"/>
        </w:numPr>
        <w:suppressAutoHyphens w:val="true"/>
        <w:bidi w:val="0"/>
        <w:spacing w:lineRule="auto" w:line="276" w:before="0" w:after="0"/>
        <w:ind w:hanging="340" w:left="737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Zamawiający wybiera najkorzystniejszą ofertę zgodną z opisem przedmiotu zamówienia, złożoną przez Wykonawcę spełniającego warunki udziału w postępowaniu, w oparciu o ustalone w zapytaniu ofertowym kryteria oceny ofert, spośród złożonych ofert. Zamawiający analizuje treść ofert po upływie terminu wyznaczonego na ich składanie.</w:t>
      </w:r>
    </w:p>
    <w:p>
      <w:pPr>
        <w:pStyle w:val="Normal"/>
        <w:widowControl w:val="false"/>
        <w:numPr>
          <w:ilvl w:val="0"/>
          <w:numId w:val="125"/>
        </w:numPr>
        <w:suppressAutoHyphens w:val="true"/>
        <w:bidi w:val="0"/>
        <w:spacing w:lineRule="auto" w:line="276" w:before="0" w:after="0"/>
        <w:ind w:hanging="340" w:left="737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Jeżeli zaoferowana cena wydaje się rażąco niska w stosunku do przedmiotu zamówienia, tj. różni się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ceny. Zamawiający ocenia te wyjaśnienia i może odrzucić tę ofertę wyłącznie w przypadku, gdy złożone wyjaśnienia wraz z dowodami nie uzasadniają podanej ceny w tej ofercie.</w:t>
      </w:r>
    </w:p>
    <w:p>
      <w:pPr>
        <w:pStyle w:val="Normal"/>
        <w:widowControl w:val="false"/>
        <w:numPr>
          <w:ilvl w:val="0"/>
          <w:numId w:val="126"/>
        </w:numPr>
        <w:suppressAutoHyphens w:val="true"/>
        <w:bidi w:val="0"/>
        <w:spacing w:lineRule="auto" w:line="276" w:before="0" w:after="0"/>
        <w:ind w:hanging="340" w:left="737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Jeżeli Wykonawca nie złożył oświadczeń lub dokumentów określonych w treści zapytania ofertowego lub są one niekompletne lub zawierają błędy, Zamawiający wzywa Wykonawcę odpowiednio do ich złożenia, poprawienia lub uzupełnienia w wyznaczonym terminie, chyba że zachodzą przesłanki unieważnienia postępowania. Formularz ofertowy oraz przedmiotowe środki dowodowe (jeżeli Zamawiający żąda ich złożenia) nie podlegają uzupełnieniu.</w:t>
      </w:r>
    </w:p>
    <w:p>
      <w:pPr>
        <w:pStyle w:val="Normal"/>
        <w:widowControl w:val="false"/>
        <w:numPr>
          <w:ilvl w:val="0"/>
          <w:numId w:val="127"/>
        </w:numPr>
        <w:suppressAutoHyphens w:val="true"/>
        <w:bidi w:val="0"/>
        <w:spacing w:lineRule="auto" w:line="276" w:before="0" w:after="0"/>
        <w:ind w:hanging="340" w:left="737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Zamawiający może żądać od Wykonawców wyjaśnień dotyczących treści oświadczeń i dokumentów określonych w treści zapytania ofertowego.</w:t>
      </w:r>
    </w:p>
    <w:p>
      <w:pPr>
        <w:pStyle w:val="Normal"/>
        <w:widowControl w:val="false"/>
        <w:numPr>
          <w:ilvl w:val="0"/>
          <w:numId w:val="128"/>
        </w:numPr>
        <w:suppressAutoHyphens w:val="true"/>
        <w:bidi w:val="0"/>
        <w:spacing w:lineRule="auto" w:line="276" w:before="0" w:after="0"/>
        <w:ind w:hanging="340" w:left="737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Zamawiający odrzuca ofertę, jeżeli:</w:t>
      </w:r>
    </w:p>
    <w:p>
      <w:pPr>
        <w:pStyle w:val="Normal"/>
        <w:widowControl w:val="false"/>
        <w:numPr>
          <w:ilvl w:val="0"/>
          <w:numId w:val="129"/>
        </w:numPr>
        <w:suppressAutoHyphens w:val="true"/>
        <w:bidi w:val="0"/>
        <w:spacing w:lineRule="auto" w:line="276" w:before="0" w:after="0"/>
        <w:ind w:hanging="340" w:left="1077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została złożona przez Wykonawcę:</w:t>
      </w:r>
    </w:p>
    <w:p>
      <w:pPr>
        <w:pStyle w:val="Normal"/>
        <w:widowControl w:val="false"/>
        <w:numPr>
          <w:ilvl w:val="0"/>
          <w:numId w:val="130"/>
        </w:numPr>
        <w:suppressAutoHyphens w:val="true"/>
        <w:bidi w:val="0"/>
        <w:spacing w:lineRule="auto" w:line="276" w:before="0" w:after="0"/>
        <w:ind w:hanging="340" w:left="1304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podlegającego wykluczeniu z postępowania lub</w:t>
      </w:r>
    </w:p>
    <w:p>
      <w:pPr>
        <w:pStyle w:val="Normal"/>
        <w:widowControl w:val="false"/>
        <w:numPr>
          <w:ilvl w:val="0"/>
          <w:numId w:val="131"/>
        </w:numPr>
        <w:suppressAutoHyphens w:val="true"/>
        <w:bidi w:val="0"/>
        <w:spacing w:lineRule="auto" w:line="276" w:before="0" w:after="0"/>
        <w:ind w:hanging="340" w:left="1304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niespełniającego warunków udziału w postępowaniu, lub</w:t>
      </w:r>
    </w:p>
    <w:p>
      <w:pPr>
        <w:pStyle w:val="Normal"/>
        <w:widowControl w:val="false"/>
        <w:numPr>
          <w:ilvl w:val="0"/>
          <w:numId w:val="132"/>
        </w:numPr>
        <w:suppressAutoHyphens w:val="true"/>
        <w:bidi w:val="0"/>
        <w:spacing w:lineRule="auto" w:line="276" w:before="0" w:after="0"/>
        <w:ind w:hanging="340" w:left="1304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który nie złożył w przewidzianym terminie oświadczeń lub dokumentów określonych w treści zapytania ofertowego,</w:t>
      </w:r>
    </w:p>
    <w:p>
      <w:pPr>
        <w:pStyle w:val="Normal"/>
        <w:widowControl w:val="false"/>
        <w:numPr>
          <w:ilvl w:val="0"/>
          <w:numId w:val="133"/>
        </w:numPr>
        <w:suppressAutoHyphens w:val="true"/>
        <w:bidi w:val="0"/>
        <w:spacing w:lineRule="auto" w:line="276" w:before="0" w:after="0"/>
        <w:ind w:hanging="340" w:left="1077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jej treść jest niezgodna z warunkami zamówienia,</w:t>
      </w:r>
    </w:p>
    <w:p>
      <w:pPr>
        <w:pStyle w:val="Normal"/>
        <w:widowControl w:val="false"/>
        <w:numPr>
          <w:ilvl w:val="0"/>
          <w:numId w:val="134"/>
        </w:numPr>
        <w:suppressAutoHyphens w:val="true"/>
        <w:bidi w:val="0"/>
        <w:spacing w:lineRule="auto" w:line="276" w:before="0" w:after="0"/>
        <w:ind w:hanging="340" w:left="1077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nie została sporządzona oraz przekazana w sposób zgodny z wymaganiami określonymi w dziale II, VII i XI zapytania ofertowego,</w:t>
      </w:r>
    </w:p>
    <w:p>
      <w:pPr>
        <w:pStyle w:val="Normal"/>
        <w:widowControl w:val="false"/>
        <w:numPr>
          <w:ilvl w:val="0"/>
          <w:numId w:val="135"/>
        </w:numPr>
        <w:suppressAutoHyphens w:val="true"/>
        <w:bidi w:val="0"/>
        <w:spacing w:lineRule="auto" w:line="276" w:before="0" w:after="0"/>
        <w:ind w:hanging="340" w:left="1077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zawiera rażąco niską cenę.</w:t>
      </w:r>
    </w:p>
    <w:p>
      <w:pPr>
        <w:pStyle w:val="Normal"/>
        <w:widowControl w:val="false"/>
        <w:numPr>
          <w:ilvl w:val="0"/>
          <w:numId w:val="136"/>
        </w:numPr>
        <w:suppressAutoHyphens w:val="true"/>
        <w:bidi w:val="0"/>
        <w:spacing w:lineRule="auto" w:line="276" w:before="0" w:after="0"/>
        <w:ind w:hanging="340" w:left="737" w:right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Zamawiający unieważnia postępowanie o zamówienie, jeżeli:</w:t>
      </w:r>
    </w:p>
    <w:p>
      <w:pPr>
        <w:pStyle w:val="Normal"/>
        <w:widowControl w:val="false"/>
        <w:numPr>
          <w:ilvl w:val="0"/>
          <w:numId w:val="137"/>
        </w:numPr>
        <w:suppressAutoHyphens w:val="true"/>
        <w:spacing w:lineRule="auto" w:line="276" w:before="0" w:after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nie złożono żadnej oferty,</w:t>
      </w:r>
    </w:p>
    <w:p>
      <w:pPr>
        <w:pStyle w:val="Normal"/>
        <w:widowControl w:val="false"/>
        <w:numPr>
          <w:ilvl w:val="0"/>
          <w:numId w:val="138"/>
        </w:numPr>
        <w:suppressAutoHyphens w:val="true"/>
        <w:spacing w:lineRule="auto" w:line="276" w:before="0" w:after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wszystkie złożone oferty podlegały odrzuceniu,</w:t>
      </w:r>
    </w:p>
    <w:p>
      <w:pPr>
        <w:pStyle w:val="Normal"/>
        <w:widowControl w:val="false"/>
        <w:numPr>
          <w:ilvl w:val="0"/>
          <w:numId w:val="139"/>
        </w:numPr>
        <w:suppressAutoHyphens w:val="true"/>
        <w:spacing w:lineRule="auto" w:line="276" w:before="0" w:after="0"/>
        <w:jc w:val="left"/>
        <w:textAlignment w:val="baseline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kern w:val="0"/>
          <w:sz w:val="22"/>
          <w:szCs w:val="22"/>
          <w:lang w:eastAsia="zh-CN" w:bidi="hi-IN"/>
          <w14:ligatures w14:val="none"/>
        </w:rPr>
        <w:t>cena najkorzystniejszej oferty lub oferta z najniższą ceną przewyższa kwotę, którą Zamawiający zamierza przeznaczyć na sfinansowanie zamówienia.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spacing w:lineRule="auto" w:line="276" w:before="0" w:after="0"/>
        <w:ind w:hanging="0" w:left="1440"/>
        <w:jc w:val="left"/>
        <w:textAlignment w:val="baseline"/>
        <w:rPr>
          <w:rFonts w:eastAsia="Arial" w:cs="Arial"/>
          <w:color w:val="000000"/>
          <w:kern w:val="0"/>
          <w:lang w:eastAsia="zh-CN" w:bidi="hi-IN"/>
          <w14:ligatures w14:val="none"/>
        </w:rPr>
      </w:pPr>
      <w:r>
        <w:rPr>
          <w:rFonts w:eastAsia="Arial" w:cs="Arial"/>
          <w:color w:val="000000"/>
          <w:kern w:val="0"/>
          <w:lang w:eastAsia="zh-CN" w:bidi="hi-IN"/>
          <w14:ligatures w14:val="none"/>
        </w:rPr>
      </w:r>
    </w:p>
    <w:p>
      <w:pPr>
        <w:pStyle w:val="Standard"/>
        <w:numPr>
          <w:ilvl w:val="0"/>
          <w:numId w:val="140"/>
        </w:numPr>
        <w:spacing w:lineRule="auto" w:line="276"/>
        <w:jc w:val="left"/>
        <w:rPr>
          <w:rFonts w:ascii="Arial" w:hAnsi="Arial"/>
          <w:sz w:val="22"/>
          <w:szCs w:val="22"/>
        </w:rPr>
      </w:pPr>
      <w:bookmarkStart w:id="1" w:name="_Hlk192617161"/>
      <w:r>
        <w:rPr>
          <w:rFonts w:eastAsia="Arial" w:cs="Arial" w:ascii="Arial" w:hAnsi="Arial"/>
          <w:b/>
          <w:color w:val="000000"/>
          <w:sz w:val="22"/>
          <w:szCs w:val="22"/>
        </w:rPr>
        <w:t>Klauzule informacyjne RODO</w:t>
      </w:r>
      <w:bookmarkEnd w:id="1"/>
    </w:p>
    <w:p>
      <w:pPr>
        <w:pStyle w:val="Default"/>
        <w:numPr>
          <w:ilvl w:val="3"/>
          <w:numId w:val="141"/>
        </w:numPr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Stanowią załączniki nr 8 i 9 do zapytania</w:t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 xml:space="preserve">Załączniki: </w:t>
      </w:r>
    </w:p>
    <w:p>
      <w:pPr>
        <w:pStyle w:val="Default"/>
        <w:numPr>
          <w:ilvl w:val="0"/>
          <w:numId w:val="6"/>
        </w:numPr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Szczegółowy opis przedmiotu zamówienia – pomoce dydaktyczne,</w:t>
      </w:r>
    </w:p>
    <w:p>
      <w:pPr>
        <w:pStyle w:val="Default"/>
        <w:numPr>
          <w:ilvl w:val="0"/>
          <w:numId w:val="6"/>
        </w:numPr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Szczegółowy opis przedmiotu zamówienia – sprzęt TIK,</w:t>
      </w:r>
    </w:p>
    <w:p>
      <w:pPr>
        <w:pStyle w:val="Default"/>
        <w:numPr>
          <w:ilvl w:val="0"/>
          <w:numId w:val="6"/>
        </w:numPr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Formularz ofertowy,</w:t>
      </w:r>
    </w:p>
    <w:p>
      <w:pPr>
        <w:pStyle w:val="Default"/>
        <w:numPr>
          <w:ilvl w:val="0"/>
          <w:numId w:val="6"/>
        </w:numPr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Załącznik do formularza ofertowego – pomoce dydaktyczne,</w:t>
      </w:r>
    </w:p>
    <w:p>
      <w:pPr>
        <w:pStyle w:val="Default"/>
        <w:numPr>
          <w:ilvl w:val="0"/>
          <w:numId w:val="6"/>
        </w:numPr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Załącznik do formularza ofertowego – sprzęt TIK,</w:t>
      </w:r>
    </w:p>
    <w:p>
      <w:pPr>
        <w:pStyle w:val="Default"/>
        <w:numPr>
          <w:ilvl w:val="0"/>
          <w:numId w:val="6"/>
        </w:numPr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 xml:space="preserve">Oświadczenie dotyczące </w:t>
      </w:r>
      <w:r>
        <w:rPr>
          <w:rFonts w:cs="Arial"/>
          <w:b w:val="false"/>
          <w:bCs w:val="false"/>
          <w:sz w:val="22"/>
          <w:szCs w:val="22"/>
        </w:rPr>
        <w:t>szczególnych rozwiązań w zakresie przeciwdziałania wspierania agresji na Ukrainę oraz służących ochronie bezpieczeństwa narodowego,</w:t>
      </w:r>
    </w:p>
    <w:p>
      <w:pPr>
        <w:pStyle w:val="Default"/>
        <w:numPr>
          <w:ilvl w:val="0"/>
          <w:numId w:val="6"/>
        </w:numPr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 xml:space="preserve">Oświadczenie o braku powiązań osobowych i kapitałowych, </w:t>
      </w:r>
    </w:p>
    <w:p>
      <w:pPr>
        <w:pStyle w:val="Default"/>
        <w:numPr>
          <w:ilvl w:val="0"/>
          <w:numId w:val="6"/>
        </w:numPr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Klauzula RODO SPI8,</w:t>
      </w:r>
    </w:p>
    <w:p>
      <w:pPr>
        <w:pStyle w:val="Default"/>
        <w:numPr>
          <w:ilvl w:val="0"/>
          <w:numId w:val="6"/>
        </w:numPr>
        <w:spacing w:lineRule="auto" w:line="276"/>
        <w:jc w:val="left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Klauzula RODO dla wykonawców i podwykonawców.</w:t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720" cy="580390"/>
          <wp:effectExtent l="0" t="0" r="0" b="0"/>
          <wp:docPr id="1" name="Obraz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9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1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3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4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5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6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7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8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9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0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1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2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3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4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5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6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7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b w:val="false"/>
        <w:rFonts w:ascii="Arial" w:hAnsi="Arial" w:eastAsia="Arial" w:cs="Aria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2"/>
        <w:b w:val="false"/>
        <w:rFonts w:ascii="Arial" w:hAnsi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b w:val="false"/>
        <w:rFonts w:ascii="Arial" w:hAnsi="Arial" w:eastAsia="Arial" w:cs="Aria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2"/>
        <w:b w:val="false"/>
        <w:rFonts w:ascii="Arial" w:hAnsi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b w:val="false"/>
        <w:rFonts w:ascii="Arial" w:hAnsi="Arial" w:eastAsia="Arial" w:cs="Aria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2"/>
        <w:b w:val="false"/>
        <w:rFonts w:ascii="Arial" w:hAnsi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b w:val="false"/>
        <w:rFonts w:ascii="Arial" w:hAnsi="Arial" w:eastAsia="Arial" w:cs="Aria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2"/>
        <w:b w:val="false"/>
        <w:rFonts w:ascii="Arial" w:hAnsi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b w:val="false"/>
        <w:rFonts w:ascii="Arial" w:hAnsi="Arial" w:eastAsia="Arial" w:cs="Aria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2"/>
        <w:b w:val="false"/>
        <w:rFonts w:ascii="Arial" w:hAnsi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b w:val="false"/>
        <w:rFonts w:ascii="Arial" w:hAnsi="Arial" w:eastAsia="Arial" w:cs="Aria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2"/>
        <w:b w:val="false"/>
        <w:rFonts w:ascii="Arial" w:hAnsi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4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5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6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7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sz w:val="22"/>
        <w:b w:val="false"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48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sz w:val="22"/>
        <w:b w:val="false"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49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0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1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2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53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54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5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56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57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58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59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60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61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62"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  <w:rPr/>
    </w:lvl>
  </w:abstractNum>
  <w:abstractNum w:abstractNumId="63"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  <w:rPr/>
    </w:lvl>
  </w:abstractNum>
  <w:abstractNum w:abstractNumId="64"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  <w:rPr/>
    </w:lvl>
  </w:abstractNum>
  <w:abstractNum w:abstractNumId="65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66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67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68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69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70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71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72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3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2"/>
  </w:num>
  <w:num w:numId="76">
    <w:abstractNumId w:val="2"/>
  </w:num>
  <w:num w:numId="77">
    <w:abstractNumId w:val="2"/>
  </w:num>
  <w:num w:numId="78">
    <w:abstractNumId w:val="2"/>
  </w:num>
  <w:num w:numId="79">
    <w:abstractNumId w:val="2"/>
  </w:num>
  <w:num w:numId="80">
    <w:abstractNumId w:val="2"/>
  </w:num>
  <w:num w:numId="81">
    <w:abstractNumId w:val="2"/>
  </w:num>
  <w:num w:numId="82">
    <w:abstractNumId w:val="2"/>
  </w:num>
  <w:num w:numId="83">
    <w:abstractNumId w:val="2"/>
  </w:num>
  <w:num w:numId="84">
    <w:abstractNumId w:val="2"/>
  </w:num>
  <w:num w:numId="85">
    <w:abstractNumId w:val="2"/>
  </w:num>
  <w:num w:numId="86">
    <w:abstractNumId w:val="2"/>
  </w:num>
  <w:num w:numId="87">
    <w:abstractNumId w:val="2"/>
  </w:num>
  <w:num w:numId="88">
    <w:abstractNumId w:val="2"/>
  </w:num>
  <w:num w:numId="89">
    <w:abstractNumId w:val="2"/>
  </w:num>
  <w:num w:numId="90">
    <w:abstractNumId w:val="2"/>
  </w:num>
  <w:num w:numId="91">
    <w:abstractNumId w:val="2"/>
  </w:num>
  <w:num w:numId="92">
    <w:abstractNumId w:val="2"/>
  </w:num>
  <w:num w:numId="93">
    <w:abstractNumId w:val="2"/>
  </w:num>
  <w:num w:numId="94">
    <w:abstractNumId w:val="2"/>
  </w:num>
  <w:num w:numId="95">
    <w:abstractNumId w:val="2"/>
  </w:num>
  <w:num w:numId="96">
    <w:abstractNumId w:val="2"/>
  </w:num>
  <w:num w:numId="97">
    <w:abstractNumId w:val="2"/>
  </w:num>
  <w:num w:numId="98">
    <w:abstractNumId w:val="2"/>
  </w:num>
  <w:num w:numId="99">
    <w:abstractNumId w:val="2"/>
  </w:num>
  <w:num w:numId="100">
    <w:abstractNumId w:val="2"/>
  </w:num>
  <w:num w:numId="101">
    <w:abstractNumId w:val="2"/>
  </w:num>
  <w:num w:numId="102">
    <w:abstractNumId w:val="2"/>
  </w:num>
  <w:num w:numId="103">
    <w:abstractNumId w:val="2"/>
  </w:num>
  <w:num w:numId="104">
    <w:abstractNumId w:val="2"/>
  </w:num>
  <w:num w:numId="105">
    <w:abstractNumId w:val="2"/>
  </w:num>
  <w:num w:numId="106">
    <w:abstractNumId w:val="38"/>
    <w:lvlOverride w:ilvl="0">
      <w:startOverride w:val="1"/>
    </w:lvlOverride>
  </w:num>
  <w:num w:numId="107">
    <w:abstractNumId w:val="38"/>
  </w:num>
  <w:num w:numId="108">
    <w:abstractNumId w:val="38"/>
  </w:num>
  <w:num w:numId="109">
    <w:abstractNumId w:val="38"/>
  </w:num>
  <w:num w:numId="110">
    <w:abstractNumId w:val="38"/>
  </w:num>
  <w:num w:numId="111">
    <w:abstractNumId w:val="38"/>
  </w:num>
  <w:num w:numId="112">
    <w:abstractNumId w:val="2"/>
  </w:num>
  <w:num w:numId="113">
    <w:abstractNumId w:val="2"/>
  </w:num>
  <w:num w:numId="114">
    <w:abstractNumId w:val="2"/>
  </w:num>
  <w:num w:numId="115">
    <w:abstractNumId w:val="47"/>
    <w:lvlOverride w:ilvl="0">
      <w:startOverride w:val="1"/>
    </w:lvlOverride>
  </w:num>
  <w:num w:numId="116">
    <w:abstractNumId w:val="47"/>
  </w:num>
  <w:num w:numId="117">
    <w:abstractNumId w:val="2"/>
  </w:num>
  <w:num w:numId="118">
    <w:abstractNumId w:val="2"/>
  </w:num>
  <w:num w:numId="119">
    <w:abstractNumId w:val="2"/>
  </w:num>
  <w:num w:numId="120">
    <w:abstractNumId w:val="5"/>
  </w:num>
  <w:num w:numId="121">
    <w:abstractNumId w:val="5"/>
  </w:num>
  <w:num w:numId="122">
    <w:abstractNumId w:val="2"/>
  </w:num>
  <w:num w:numId="123">
    <w:abstractNumId w:val="55"/>
    <w:lvlOverride w:ilvl="0">
      <w:startOverride w:val="1"/>
    </w:lvlOverride>
  </w:num>
  <w:num w:numId="124">
    <w:abstractNumId w:val="55"/>
  </w:num>
  <w:num w:numId="125">
    <w:abstractNumId w:val="55"/>
  </w:num>
  <w:num w:numId="126">
    <w:abstractNumId w:val="55"/>
  </w:num>
  <w:num w:numId="127">
    <w:abstractNumId w:val="55"/>
  </w:num>
  <w:num w:numId="128">
    <w:abstractNumId w:val="55"/>
  </w:num>
  <w:num w:numId="129">
    <w:abstractNumId w:val="61"/>
    <w:lvlOverride w:ilvl="0">
      <w:startOverride w:val="1"/>
    </w:lvlOverride>
  </w:num>
  <w:num w:numId="130">
    <w:abstractNumId w:val="62"/>
    <w:lvlOverride w:ilvl="0">
      <w:startOverride w:val="1"/>
    </w:lvlOverride>
  </w:num>
  <w:num w:numId="131">
    <w:abstractNumId w:val="62"/>
  </w:num>
  <w:num w:numId="132">
    <w:abstractNumId w:val="62"/>
  </w:num>
  <w:num w:numId="133">
    <w:abstractNumId w:val="61"/>
  </w:num>
  <w:num w:numId="134">
    <w:abstractNumId w:val="61"/>
  </w:num>
  <w:num w:numId="135">
    <w:abstractNumId w:val="61"/>
  </w:num>
  <w:num w:numId="136">
    <w:abstractNumId w:val="55"/>
  </w:num>
  <w:num w:numId="137">
    <w:abstractNumId w:val="69"/>
    <w:lvlOverride w:ilvl="0">
      <w:startOverride w:val="1"/>
    </w:lvlOverride>
  </w:num>
  <w:num w:numId="138">
    <w:abstractNumId w:val="69"/>
  </w:num>
  <w:num w:numId="139">
    <w:abstractNumId w:val="69"/>
  </w:num>
  <w:num w:numId="140">
    <w:abstractNumId w:val="2"/>
  </w:num>
  <w:num w:numId="141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iPriority w:val="99"/>
    <w:unhideWhenUsed/>
    <w:rsid w:val="007a43ca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a43ca"/>
    <w:rPr>
      <w:color w:val="605E5C"/>
      <w:shd w:fill="E1DFDD" w:val="clear"/>
    </w:rPr>
  </w:style>
  <w:style w:type="character" w:styleId="NagwekZnak" w:customStyle="1">
    <w:name w:val="Nagłówek Znak"/>
    <w:basedOn w:val="DefaultParagraphFont"/>
    <w:uiPriority w:val="99"/>
    <w:qFormat/>
    <w:rsid w:val="007a43ca"/>
    <w:rPr/>
  </w:style>
  <w:style w:type="character" w:styleId="StopkaZnak" w:customStyle="1">
    <w:name w:val="Stopka Znak"/>
    <w:basedOn w:val="DefaultParagraphFont"/>
    <w:uiPriority w:val="99"/>
    <w:qFormat/>
    <w:rsid w:val="007a43ca"/>
    <w:rPr/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WW8Num3z0">
    <w:name w:val="WW8Num3z0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7a43ca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Linux Libertine G" w:cs="Linux Libertine G"/>
      <w:color w:val="auto"/>
      <w:kern w:val="0"/>
      <w:sz w:val="22"/>
      <w:szCs w:val="22"/>
      <w:lang w:val="pl-PL" w:eastAsia="zh-CN" w:bidi="hi-IN"/>
      <w14:ligatures w14:val="none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7a43c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7a43c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7a43ca"/>
    <w:pPr>
      <w:spacing w:before="0" w:after="160"/>
      <w:ind w:left="720"/>
      <w:contextualSpacing/>
    </w:pPr>
    <w:rPr/>
  </w:style>
  <w:style w:type="paragraph" w:styleId="Default" w:customStyle="1">
    <w:name w:val="Default"/>
    <w:qFormat/>
    <w:rsid w:val="003d0a06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Linux Libertine G" w:cs="Arial"/>
      <w:color w:val="000000"/>
      <w:kern w:val="0"/>
      <w:sz w:val="24"/>
      <w:szCs w:val="24"/>
      <w:lang w:val="pl-PL" w:eastAsia="pl-PL" w:bidi="ar-SA"/>
      <w14:ligatures w14:val="none"/>
    </w:rPr>
  </w:style>
  <w:style w:type="paragraph" w:styleId="BodyTextIndent">
    <w:name w:val="Body Text Indent"/>
    <w:basedOn w:val="Normal"/>
    <w:pPr>
      <w:widowControl w:val="false"/>
      <w:spacing w:lineRule="auto" w:line="240" w:before="0" w:after="120"/>
      <w:ind w:hanging="0" w:left="283" w:right="0"/>
    </w:pPr>
    <w:rPr>
      <w:rFonts w:ascii="Times New Roman" w:hAnsi="Times New Roman" w:eastAsia="Times New Roman" w:cs="Times New Roman"/>
      <w:sz w:val="20"/>
      <w:szCs w:val="20"/>
      <w:lang w:val="pl-PL"/>
    </w:rPr>
  </w:style>
  <w:style w:type="numbering" w:styleId="NoList" w:default="1">
    <w:name w:val="No List"/>
    <w:uiPriority w:val="99"/>
    <w:semiHidden/>
    <w:unhideWhenUsed/>
    <w:qFormat/>
  </w:style>
  <w:style w:type="numbering" w:styleId="WW8Num3">
    <w:name w:val="WW8Num3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Application>LibreOffice/7.6.2.1$Windows_X86_64 LibreOffice_project/56f7684011345957bbf33a7ee678afaf4d2ba333</Application>
  <AppVersion>15.0000</AppVersion>
  <Pages>8</Pages>
  <Words>1891</Words>
  <Characters>12525</Characters>
  <CharactersWithSpaces>14267</CharactersWithSpaces>
  <Paragraphs>113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2026-01-27T17:46:00Z</dcterms:created>
  <dc:creator>Piotr Bakowicz</dc:creator>
  <dc:description/>
  <dc:language>pl-PL</dc:language>
  <cp:lastModifiedBy/>
  <dcterms:modified xsi:type="dcterms:W3CDTF">2026-03-08T15:45:58Z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